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C2" w:rsidRPr="003C33C2" w:rsidRDefault="003C33C2" w:rsidP="003C33C2">
      <w:pPr>
        <w:overflowPunct/>
        <w:jc w:val="center"/>
        <w:textAlignment w:val="auto"/>
        <w:rPr>
          <w:rFonts w:ascii="Goudy Old Style" w:hAnsi="Goudy Old Style"/>
          <w:color w:val="000000"/>
          <w:sz w:val="26"/>
          <w:szCs w:val="26"/>
        </w:rPr>
      </w:pPr>
      <w:r w:rsidRPr="003C33C2">
        <w:rPr>
          <w:rFonts w:ascii="Goudy Old Style" w:hAnsi="Goudy Old Style"/>
          <w:b/>
          <w:bCs/>
          <w:color w:val="000000"/>
          <w:sz w:val="26"/>
          <w:szCs w:val="26"/>
        </w:rPr>
        <w:t>ORDINANZA DI VENDITA IMMOBILIARE SENZA INCANTO</w:t>
      </w:r>
    </w:p>
    <w:p w:rsidR="003C33C2" w:rsidRDefault="003C33C2" w:rsidP="003C33C2">
      <w:pPr>
        <w:overflowPunct/>
        <w:jc w:val="both"/>
        <w:textAlignment w:val="auto"/>
        <w:rPr>
          <w:rFonts w:ascii="Goudy Old Style" w:hAnsi="Goudy Old Style"/>
          <w:color w:val="000000"/>
          <w:sz w:val="26"/>
          <w:szCs w:val="26"/>
        </w:rPr>
      </w:pPr>
    </w:p>
    <w:p w:rsidR="003C33C2" w:rsidRPr="003C33C2" w:rsidRDefault="003C33C2" w:rsidP="003C33C2">
      <w:pPr>
        <w:overflowPunct/>
        <w:spacing w:line="360" w:lineRule="auto"/>
        <w:jc w:val="both"/>
        <w:textAlignment w:val="auto"/>
        <w:rPr>
          <w:rFonts w:ascii="Goudy Old Style" w:hAnsi="Goudy Old Style"/>
          <w:b/>
          <w:color w:val="000000"/>
          <w:sz w:val="26"/>
          <w:szCs w:val="26"/>
        </w:rPr>
      </w:pPr>
      <w:r w:rsidRPr="003C33C2">
        <w:rPr>
          <w:rFonts w:ascii="Goudy Old Style" w:hAnsi="Goudy Old Style"/>
          <w:b/>
          <w:color w:val="000000"/>
          <w:sz w:val="26"/>
          <w:szCs w:val="26"/>
        </w:rPr>
        <w:t>Il Giudice delegato</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 Vista l’istanza avanzata dal Curatore per la vendita dei beni di pertinenza del fallimento;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visti gli artt. 104-ter e 107, l.f.; </w:t>
      </w:r>
    </w:p>
    <w:p w:rsidR="003C33C2" w:rsidRPr="003C33C2" w:rsidRDefault="003C33C2" w:rsidP="003C33C2">
      <w:pPr>
        <w:overflowPunct/>
        <w:spacing w:line="360" w:lineRule="auto"/>
        <w:jc w:val="center"/>
        <w:textAlignment w:val="auto"/>
        <w:rPr>
          <w:rFonts w:ascii="Goudy Old Style" w:hAnsi="Goudy Old Style"/>
          <w:color w:val="000000"/>
          <w:sz w:val="26"/>
          <w:szCs w:val="26"/>
        </w:rPr>
      </w:pPr>
      <w:r w:rsidRPr="003C33C2">
        <w:rPr>
          <w:rFonts w:ascii="Goudy Old Style" w:hAnsi="Goudy Old Style"/>
          <w:b/>
          <w:bCs/>
          <w:color w:val="000000"/>
          <w:sz w:val="26"/>
          <w:szCs w:val="26"/>
        </w:rPr>
        <w:t>ORDINA</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Procedersi alla vendita senza incanto dei seguenti beni immobili al prezzo base di seguito indicato, tutti meglio descritti in seno alle perizie valutative in atti (che devono intendersi qui per intero richiamate e trascritte e ai cui si fa integrale rinvio), inclusi i dati catastali e i confini: </w:t>
      </w:r>
    </w:p>
    <w:p w:rsidR="001E27F9" w:rsidRDefault="003C33C2" w:rsidP="003C33C2">
      <w:pPr>
        <w:overflowPunct/>
        <w:spacing w:line="360" w:lineRule="auto"/>
        <w:jc w:val="both"/>
        <w:textAlignment w:val="auto"/>
        <w:rPr>
          <w:rFonts w:ascii="Goudy Old Style" w:hAnsi="Goudy Old Style"/>
          <w:b/>
          <w:bCs/>
          <w:color w:val="000000"/>
          <w:sz w:val="26"/>
          <w:szCs w:val="26"/>
        </w:rPr>
      </w:pPr>
      <w:r w:rsidRPr="003C33C2">
        <w:rPr>
          <w:rFonts w:ascii="Goudy Old Style" w:hAnsi="Goudy Old Style"/>
          <w:b/>
          <w:bCs/>
          <w:color w:val="000000"/>
          <w:sz w:val="26"/>
          <w:szCs w:val="26"/>
        </w:rPr>
        <w:t xml:space="preserve">LOTTO </w:t>
      </w:r>
      <w:proofErr w:type="gramStart"/>
      <w:r w:rsidRPr="003C33C2">
        <w:rPr>
          <w:rFonts w:ascii="Goudy Old Style" w:hAnsi="Goudy Old Style"/>
          <w:b/>
          <w:bCs/>
          <w:color w:val="000000"/>
          <w:sz w:val="26"/>
          <w:szCs w:val="26"/>
        </w:rPr>
        <w:t xml:space="preserve">1) </w:t>
      </w:r>
      <w:r w:rsidR="001E27F9">
        <w:rPr>
          <w:rFonts w:ascii="Goudy Old Style" w:hAnsi="Goudy Old Style"/>
          <w:b/>
          <w:bCs/>
          <w:color w:val="000000"/>
          <w:sz w:val="26"/>
          <w:szCs w:val="26"/>
        </w:rPr>
        <w:t>….</w:t>
      </w:r>
      <w:proofErr w:type="gramEnd"/>
      <w:r w:rsidR="001E27F9">
        <w:rPr>
          <w:rFonts w:ascii="Goudy Old Style" w:hAnsi="Goudy Old Style"/>
          <w:b/>
          <w:bCs/>
          <w:color w:val="000000"/>
          <w:sz w:val="26"/>
          <w:szCs w:val="26"/>
        </w:rPr>
        <w:t>.</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Prezzo base d’asta € </w:t>
      </w:r>
      <w:r w:rsidR="001E27F9">
        <w:rPr>
          <w:rFonts w:ascii="Goudy Old Style" w:hAnsi="Goudy Old Style"/>
          <w:color w:val="000000"/>
          <w:sz w:val="26"/>
          <w:szCs w:val="26"/>
        </w:rPr>
        <w:t>….</w:t>
      </w:r>
      <w:r w:rsidRPr="003C33C2">
        <w:rPr>
          <w:rFonts w:ascii="Goudy Old Style" w:hAnsi="Goudy Old Style"/>
          <w:color w:val="000000"/>
          <w:sz w:val="26"/>
          <w:szCs w:val="26"/>
        </w:rPr>
        <w:t xml:space="preserve"> </w:t>
      </w:r>
    </w:p>
    <w:p w:rsidR="003C33C2" w:rsidRPr="003C33C2" w:rsidRDefault="003C33C2" w:rsidP="001E27F9">
      <w:pPr>
        <w:overflowPunct/>
        <w:spacing w:line="360" w:lineRule="auto"/>
        <w:jc w:val="both"/>
        <w:textAlignment w:val="auto"/>
        <w:rPr>
          <w:rFonts w:ascii="Goudy Old Style" w:hAnsi="Goudy Old Style"/>
          <w:color w:val="000000"/>
          <w:sz w:val="26"/>
          <w:szCs w:val="26"/>
        </w:rPr>
      </w:pPr>
      <w:r w:rsidRPr="003C33C2">
        <w:rPr>
          <w:rFonts w:ascii="Goudy Old Style" w:hAnsi="Goudy Old Style"/>
          <w:b/>
          <w:bCs/>
          <w:color w:val="000000"/>
          <w:sz w:val="26"/>
          <w:szCs w:val="26"/>
        </w:rPr>
        <w:t xml:space="preserve">LOTTO 2) </w:t>
      </w:r>
      <w:r w:rsidR="001E27F9">
        <w:rPr>
          <w:rFonts w:ascii="Goudy Old Style" w:hAnsi="Goudy Old Style"/>
          <w:color w:val="000000"/>
          <w:sz w:val="26"/>
          <w:szCs w:val="26"/>
        </w:rPr>
        <w:t>…</w:t>
      </w:r>
    </w:p>
    <w:p w:rsidR="003C33C2" w:rsidRPr="003C33C2" w:rsidRDefault="003C33C2" w:rsidP="001E27F9">
      <w:pPr>
        <w:overflowPunct/>
        <w:spacing w:line="360" w:lineRule="auto"/>
        <w:jc w:val="center"/>
        <w:textAlignment w:val="auto"/>
        <w:rPr>
          <w:rFonts w:ascii="Goudy Old Style" w:hAnsi="Goudy Old Style"/>
          <w:color w:val="000000"/>
          <w:sz w:val="26"/>
          <w:szCs w:val="26"/>
        </w:rPr>
      </w:pPr>
      <w:r w:rsidRPr="003C33C2">
        <w:rPr>
          <w:rFonts w:ascii="Goudy Old Style" w:hAnsi="Goudy Old Style"/>
          <w:b/>
          <w:bCs/>
          <w:color w:val="000000"/>
          <w:sz w:val="26"/>
          <w:szCs w:val="26"/>
        </w:rPr>
        <w:t>DISPONE</w:t>
      </w:r>
    </w:p>
    <w:p w:rsidR="001E27F9" w:rsidRDefault="003C33C2" w:rsidP="003C33C2">
      <w:pPr>
        <w:numPr>
          <w:ilvl w:val="0"/>
          <w:numId w:val="3"/>
        </w:numPr>
        <w:overflowPunct/>
        <w:spacing w:line="360" w:lineRule="auto"/>
        <w:ind w:left="426" w:hanging="426"/>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Che gli interessati all’acquisto debbano depositare </w:t>
      </w:r>
      <w:r w:rsidRPr="003C33C2">
        <w:rPr>
          <w:rFonts w:ascii="Goudy Old Style" w:hAnsi="Goudy Old Style"/>
          <w:b/>
          <w:bCs/>
          <w:color w:val="000000"/>
          <w:sz w:val="26"/>
          <w:szCs w:val="26"/>
        </w:rPr>
        <w:t>entro le ore 12,00 del giorno antecedente l’udienza sotto fissata per l’apertura delle buste</w:t>
      </w:r>
      <w:r w:rsidRPr="003C33C2">
        <w:rPr>
          <w:rFonts w:ascii="Goudy Old Style" w:hAnsi="Goudy Old Style"/>
          <w:color w:val="000000"/>
          <w:sz w:val="26"/>
          <w:szCs w:val="26"/>
        </w:rPr>
        <w:t xml:space="preserve">, presso la Cancelleria dell’ufficio fallimentare di questo Tribunale, un’offerta di acquisto in bollo in busta chiusa; </w:t>
      </w:r>
    </w:p>
    <w:p w:rsidR="001E27F9" w:rsidRDefault="003C33C2" w:rsidP="003C33C2">
      <w:pPr>
        <w:numPr>
          <w:ilvl w:val="0"/>
          <w:numId w:val="3"/>
        </w:numPr>
        <w:overflowPunct/>
        <w:spacing w:line="360" w:lineRule="auto"/>
        <w:ind w:left="426" w:hanging="426"/>
        <w:jc w:val="both"/>
        <w:textAlignment w:val="auto"/>
        <w:rPr>
          <w:rFonts w:ascii="Goudy Old Style" w:hAnsi="Goudy Old Style"/>
          <w:color w:val="000000"/>
          <w:sz w:val="26"/>
          <w:szCs w:val="26"/>
        </w:rPr>
      </w:pPr>
      <w:r w:rsidRPr="001E27F9">
        <w:rPr>
          <w:rFonts w:ascii="Goudy Old Style" w:hAnsi="Goudy Old Style"/>
          <w:color w:val="000000"/>
          <w:sz w:val="26"/>
          <w:szCs w:val="26"/>
        </w:rPr>
        <w:t xml:space="preserve">Che l’offerta debba essere accompagnata dal deposito di </w:t>
      </w:r>
      <w:r w:rsidRPr="001E27F9">
        <w:rPr>
          <w:rFonts w:ascii="Goudy Old Style" w:hAnsi="Goudy Old Style"/>
          <w:b/>
          <w:bCs/>
          <w:color w:val="000000"/>
          <w:sz w:val="26"/>
          <w:szCs w:val="26"/>
        </w:rPr>
        <w:t>cauzione non inferiore al 10% del prezzo offerto</w:t>
      </w:r>
      <w:r w:rsidRPr="001E27F9">
        <w:rPr>
          <w:rFonts w:ascii="Goudy Old Style" w:hAnsi="Goudy Old Style"/>
          <w:color w:val="000000"/>
          <w:sz w:val="26"/>
          <w:szCs w:val="26"/>
        </w:rPr>
        <w:t>, da effettuarsi a mezzo assegni circolari non trasferibili intestati a “</w:t>
      </w:r>
      <w:r w:rsidRPr="001E27F9">
        <w:rPr>
          <w:rFonts w:ascii="Goudy Old Style" w:hAnsi="Goudy Old Style"/>
          <w:i/>
          <w:iCs/>
          <w:color w:val="000000"/>
          <w:sz w:val="26"/>
          <w:szCs w:val="26"/>
        </w:rPr>
        <w:t xml:space="preserve">curatela fallimento n. </w:t>
      </w:r>
      <w:r w:rsidR="001E27F9" w:rsidRPr="001E27F9">
        <w:rPr>
          <w:rFonts w:ascii="Goudy Old Style" w:hAnsi="Goudy Old Style"/>
          <w:i/>
          <w:iCs/>
          <w:color w:val="000000"/>
          <w:sz w:val="26"/>
          <w:szCs w:val="26"/>
        </w:rPr>
        <w:t>…</w:t>
      </w:r>
      <w:r w:rsidRPr="001E27F9">
        <w:rPr>
          <w:rFonts w:ascii="Goudy Old Style" w:hAnsi="Goudy Old Style"/>
          <w:i/>
          <w:iCs/>
          <w:color w:val="000000"/>
          <w:sz w:val="26"/>
          <w:szCs w:val="26"/>
        </w:rPr>
        <w:t xml:space="preserve"> Tribunale di Forlì</w:t>
      </w:r>
      <w:r w:rsidRPr="001E27F9">
        <w:rPr>
          <w:rFonts w:ascii="Goudy Old Style" w:hAnsi="Goudy Old Style"/>
          <w:color w:val="000000"/>
          <w:sz w:val="26"/>
          <w:szCs w:val="26"/>
        </w:rPr>
        <w:t xml:space="preserve">” che dovranno essere inseriti nella busta medesima; </w:t>
      </w:r>
    </w:p>
    <w:p w:rsidR="001E27F9" w:rsidRDefault="003C33C2" w:rsidP="001E27F9">
      <w:pPr>
        <w:numPr>
          <w:ilvl w:val="0"/>
          <w:numId w:val="3"/>
        </w:numPr>
        <w:overflowPunct/>
        <w:spacing w:line="360" w:lineRule="auto"/>
        <w:ind w:left="426" w:hanging="426"/>
        <w:jc w:val="both"/>
        <w:textAlignment w:val="auto"/>
        <w:rPr>
          <w:rFonts w:ascii="Goudy Old Style" w:hAnsi="Goudy Old Style"/>
          <w:color w:val="000000"/>
          <w:sz w:val="26"/>
          <w:szCs w:val="26"/>
        </w:rPr>
      </w:pPr>
      <w:r w:rsidRPr="001E27F9">
        <w:rPr>
          <w:rFonts w:ascii="Goudy Old Style" w:hAnsi="Goudy Old Style"/>
          <w:color w:val="000000"/>
          <w:sz w:val="26"/>
          <w:szCs w:val="26"/>
        </w:rPr>
        <w:t xml:space="preserve">Che l’offerta, irrevocabile ai sensi dell’art. 571 comma 3° c.p.c. debba indicare: </w:t>
      </w:r>
    </w:p>
    <w:p w:rsidR="001E27F9" w:rsidRDefault="006470D2" w:rsidP="001E27F9">
      <w:pPr>
        <w:overflowPunct/>
        <w:spacing w:line="360" w:lineRule="auto"/>
        <w:ind w:left="708"/>
        <w:jc w:val="both"/>
        <w:textAlignment w:val="auto"/>
        <w:rPr>
          <w:rFonts w:ascii="Goudy Old Style" w:hAnsi="Goudy Old Style"/>
          <w:color w:val="000000"/>
          <w:sz w:val="26"/>
          <w:szCs w:val="26"/>
        </w:rPr>
      </w:pPr>
      <w:r w:rsidRPr="001E27F9">
        <w:rPr>
          <w:rFonts w:ascii="Goudy Old Style" w:hAnsi="Goudy Old Style"/>
          <w:color w:val="000000"/>
          <w:sz w:val="26"/>
          <w:szCs w:val="26"/>
        </w:rPr>
        <w:t>- s</w:t>
      </w:r>
      <w:r w:rsidR="003C33C2" w:rsidRPr="001E27F9">
        <w:rPr>
          <w:rFonts w:ascii="Goudy Old Style" w:hAnsi="Goudy Old Style"/>
          <w:color w:val="000000"/>
          <w:sz w:val="26"/>
          <w:szCs w:val="26"/>
        </w:rPr>
        <w:t xml:space="preserve">e l’offerente è persona fisica: il cognome, il nome, il luogo e la data di nascita, il codice fiscale (ed eventualmente la partita IVA se l’offerta viene effettuata nell’ambito dell’esercizio di impresa o professione), la residenza e, se diverso, il domicilio, lo stato civile, indirizzo mail valido oppure recapito telefonico; </w:t>
      </w:r>
    </w:p>
    <w:p w:rsidR="001E27F9" w:rsidRDefault="001E27F9" w:rsidP="001E27F9">
      <w:pPr>
        <w:overflowPunct/>
        <w:spacing w:line="360" w:lineRule="auto"/>
        <w:ind w:left="708"/>
        <w:jc w:val="both"/>
        <w:textAlignment w:val="auto"/>
        <w:rPr>
          <w:rFonts w:ascii="Goudy Old Style" w:hAnsi="Goudy Old Style"/>
          <w:color w:val="000000"/>
          <w:sz w:val="26"/>
          <w:szCs w:val="26"/>
        </w:rPr>
      </w:pPr>
      <w:r>
        <w:rPr>
          <w:rFonts w:ascii="Goudy Old Style" w:hAnsi="Goudy Old Style"/>
          <w:color w:val="000000"/>
          <w:sz w:val="26"/>
          <w:szCs w:val="26"/>
        </w:rPr>
        <w:lastRenderedPageBreak/>
        <w:t xml:space="preserve">- </w:t>
      </w:r>
      <w:r w:rsidR="003C33C2" w:rsidRPr="001E27F9">
        <w:rPr>
          <w:rFonts w:ascii="Goudy Old Style" w:hAnsi="Goudy Old Style"/>
          <w:color w:val="000000"/>
          <w:sz w:val="26"/>
          <w:szCs w:val="26"/>
        </w:rPr>
        <w:t xml:space="preserve">se l’offerente è coniugato in regime di comunione legale dei beni, devono essere indicati anche i corrispondenti dati del coniuge; </w:t>
      </w:r>
    </w:p>
    <w:p w:rsidR="001E27F9" w:rsidRDefault="006470D2" w:rsidP="001E27F9">
      <w:pPr>
        <w:overflowPunct/>
        <w:spacing w:line="360" w:lineRule="auto"/>
        <w:ind w:left="708"/>
        <w:jc w:val="both"/>
        <w:textAlignment w:val="auto"/>
        <w:rPr>
          <w:rFonts w:ascii="Goudy Old Style" w:hAnsi="Goudy Old Style"/>
          <w:color w:val="000000"/>
          <w:sz w:val="26"/>
          <w:szCs w:val="26"/>
        </w:rPr>
      </w:pPr>
      <w:r>
        <w:rPr>
          <w:rFonts w:ascii="Goudy Old Style" w:hAnsi="Goudy Old Style"/>
          <w:color w:val="000000"/>
          <w:sz w:val="26"/>
          <w:szCs w:val="26"/>
        </w:rPr>
        <w:t>- s</w:t>
      </w:r>
      <w:r w:rsidR="003C33C2" w:rsidRPr="003C33C2">
        <w:rPr>
          <w:rFonts w:ascii="Goudy Old Style" w:hAnsi="Goudy Old Style"/>
          <w:color w:val="000000"/>
          <w:sz w:val="26"/>
          <w:szCs w:val="26"/>
        </w:rPr>
        <w:t xml:space="preserve">e l’offerente è una società: la denominazione, la sede legale, il codice fiscale, la partita IVA, le generalità del regale rappresentante, l’indirizzo di posta elettronica certificata; </w:t>
      </w:r>
    </w:p>
    <w:p w:rsidR="001E27F9" w:rsidRDefault="001E27F9" w:rsidP="001E27F9">
      <w:pPr>
        <w:overflowPunct/>
        <w:spacing w:line="360" w:lineRule="auto"/>
        <w:ind w:left="708"/>
        <w:jc w:val="both"/>
        <w:textAlignment w:val="auto"/>
        <w:rPr>
          <w:rFonts w:ascii="Goudy Old Style" w:hAnsi="Goudy Old Style"/>
          <w:color w:val="000000"/>
          <w:sz w:val="26"/>
          <w:szCs w:val="26"/>
        </w:rPr>
      </w:pPr>
      <w:r>
        <w:rPr>
          <w:rFonts w:ascii="Goudy Old Style" w:hAnsi="Goudy Old Style"/>
          <w:color w:val="000000"/>
          <w:sz w:val="26"/>
          <w:szCs w:val="26"/>
        </w:rPr>
        <w:t>- l</w:t>
      </w:r>
      <w:r w:rsidR="003C33C2" w:rsidRPr="003C33C2">
        <w:rPr>
          <w:rFonts w:ascii="Goudy Old Style" w:hAnsi="Goudy Old Style"/>
          <w:color w:val="000000"/>
          <w:sz w:val="26"/>
          <w:szCs w:val="26"/>
        </w:rPr>
        <w:t xml:space="preserve">’indicazione del bene per il quale l’offerta è proposta, contenente anche il corrispondente numero identificativo del lotto; </w:t>
      </w:r>
    </w:p>
    <w:p w:rsidR="001E27F9" w:rsidRDefault="001E27F9" w:rsidP="001E27F9">
      <w:pPr>
        <w:overflowPunct/>
        <w:spacing w:line="360" w:lineRule="auto"/>
        <w:ind w:left="708"/>
        <w:jc w:val="both"/>
        <w:textAlignment w:val="auto"/>
        <w:rPr>
          <w:rFonts w:ascii="Goudy Old Style" w:hAnsi="Goudy Old Style"/>
          <w:color w:val="000000"/>
          <w:sz w:val="26"/>
          <w:szCs w:val="26"/>
        </w:rPr>
      </w:pPr>
      <w:r>
        <w:rPr>
          <w:rFonts w:ascii="Goudy Old Style" w:hAnsi="Goudy Old Style"/>
          <w:color w:val="000000"/>
          <w:sz w:val="26"/>
          <w:szCs w:val="26"/>
        </w:rPr>
        <w:t>- l</w:t>
      </w:r>
      <w:r w:rsidR="003C33C2" w:rsidRPr="003C33C2">
        <w:rPr>
          <w:rFonts w:ascii="Goudy Old Style" w:hAnsi="Goudy Old Style"/>
          <w:color w:val="000000"/>
          <w:sz w:val="26"/>
          <w:szCs w:val="26"/>
        </w:rPr>
        <w:t>’indicazione del prezzo offerto (che non potrà essere inferiore, a pena dell’inefficacia, di un quarto rispetto al prezzo base</w:t>
      </w:r>
      <w:r w:rsidR="00A63866">
        <w:rPr>
          <w:rFonts w:ascii="Goudy Old Style" w:hAnsi="Goudy Old Style"/>
          <w:color w:val="000000"/>
          <w:sz w:val="26"/>
          <w:szCs w:val="26"/>
        </w:rPr>
        <w:t xml:space="preserve"> d’asta</w:t>
      </w:r>
      <w:r w:rsidR="003C33C2" w:rsidRPr="003C33C2">
        <w:rPr>
          <w:rFonts w:ascii="Goudy Old Style" w:hAnsi="Goudy Old Style"/>
          <w:color w:val="000000"/>
          <w:sz w:val="26"/>
          <w:szCs w:val="26"/>
        </w:rPr>
        <w:t xml:space="preserve">), e del lotto per il quale viene presentata; non è consentito pagamento rateale; </w:t>
      </w:r>
    </w:p>
    <w:p w:rsidR="003C33C2" w:rsidRPr="003C33C2" w:rsidRDefault="001E27F9" w:rsidP="001E27F9">
      <w:pPr>
        <w:overflowPunct/>
        <w:spacing w:line="360" w:lineRule="auto"/>
        <w:ind w:left="708"/>
        <w:jc w:val="both"/>
        <w:textAlignment w:val="auto"/>
        <w:rPr>
          <w:rFonts w:ascii="Goudy Old Style" w:hAnsi="Goudy Old Style"/>
          <w:color w:val="000000"/>
          <w:sz w:val="26"/>
          <w:szCs w:val="26"/>
        </w:rPr>
      </w:pPr>
      <w:r>
        <w:rPr>
          <w:rFonts w:ascii="Goudy Old Style" w:hAnsi="Goudy Old Style"/>
          <w:color w:val="000000"/>
          <w:sz w:val="26"/>
          <w:szCs w:val="26"/>
        </w:rPr>
        <w:t>- l</w:t>
      </w:r>
      <w:r w:rsidR="003C33C2" w:rsidRPr="003C33C2">
        <w:rPr>
          <w:rFonts w:ascii="Goudy Old Style" w:hAnsi="Goudy Old Style"/>
          <w:color w:val="000000"/>
          <w:sz w:val="26"/>
          <w:szCs w:val="26"/>
        </w:rPr>
        <w:t xml:space="preserve">’indicazione del termine di pagamento del prezzo che non potrà comunque essere superiore a </w:t>
      </w:r>
      <w:r w:rsidR="006470D2">
        <w:rPr>
          <w:rFonts w:ascii="Goudy Old Style" w:hAnsi="Goudy Old Style"/>
          <w:color w:val="000000"/>
          <w:sz w:val="26"/>
          <w:szCs w:val="26"/>
        </w:rPr>
        <w:t>12</w:t>
      </w:r>
      <w:r w:rsidR="003C33C2" w:rsidRPr="003C33C2">
        <w:rPr>
          <w:rFonts w:ascii="Goudy Old Style" w:hAnsi="Goudy Old Style"/>
          <w:color w:val="000000"/>
          <w:sz w:val="26"/>
          <w:szCs w:val="26"/>
        </w:rPr>
        <w:t xml:space="preserve">0 giorni a decorrere dalla data di aggiudicazione; </w:t>
      </w:r>
    </w:p>
    <w:p w:rsidR="001E27F9" w:rsidRDefault="001E27F9" w:rsidP="001E27F9">
      <w:pPr>
        <w:numPr>
          <w:ilvl w:val="0"/>
          <w:numId w:val="5"/>
        </w:numPr>
        <w:overflowPunct/>
        <w:spacing w:line="360" w:lineRule="auto"/>
        <w:ind w:left="426" w:hanging="426"/>
        <w:jc w:val="both"/>
        <w:textAlignment w:val="auto"/>
        <w:rPr>
          <w:rFonts w:ascii="Goudy Old Style" w:hAnsi="Goudy Old Style"/>
          <w:color w:val="000000"/>
          <w:sz w:val="26"/>
          <w:szCs w:val="26"/>
        </w:rPr>
      </w:pPr>
      <w:r w:rsidRPr="003C33C2">
        <w:rPr>
          <w:rFonts w:ascii="Goudy Old Style" w:hAnsi="Goudy Old Style"/>
          <w:color w:val="000000"/>
          <w:sz w:val="26"/>
          <w:szCs w:val="26"/>
        </w:rPr>
        <w:t>Che all’offerta debbano essere allegati, sempre in busta chiusa e senza segni di riconoscimento all’esterno, oltre agli assegni circolari costituenti la cauzione, come in precedenza indicato, i seguenti documenti</w:t>
      </w:r>
      <w:r>
        <w:rPr>
          <w:rFonts w:ascii="Goudy Old Style" w:hAnsi="Goudy Old Style"/>
          <w:color w:val="000000"/>
          <w:sz w:val="26"/>
          <w:szCs w:val="26"/>
        </w:rPr>
        <w:t>:</w:t>
      </w:r>
    </w:p>
    <w:p w:rsidR="001E27F9" w:rsidRDefault="006470D2" w:rsidP="001E27F9">
      <w:pPr>
        <w:overflowPunct/>
        <w:spacing w:line="360" w:lineRule="auto"/>
        <w:ind w:left="426"/>
        <w:jc w:val="both"/>
        <w:textAlignment w:val="auto"/>
        <w:rPr>
          <w:rFonts w:ascii="Goudy Old Style" w:hAnsi="Goudy Old Style"/>
          <w:color w:val="000000"/>
          <w:sz w:val="26"/>
          <w:szCs w:val="26"/>
        </w:rPr>
      </w:pPr>
      <w:r>
        <w:rPr>
          <w:rFonts w:ascii="Goudy Old Style" w:hAnsi="Goudy Old Style"/>
          <w:color w:val="000000"/>
          <w:sz w:val="26"/>
          <w:szCs w:val="26"/>
        </w:rPr>
        <w:t>-</w:t>
      </w:r>
      <w:r w:rsidR="003C33C2" w:rsidRPr="003C33C2">
        <w:rPr>
          <w:rFonts w:ascii="Goudy Old Style" w:hAnsi="Goudy Old Style"/>
          <w:color w:val="000000"/>
          <w:sz w:val="26"/>
          <w:szCs w:val="26"/>
        </w:rPr>
        <w:t xml:space="preserve"> Se l’offerente è persona fisica: fotocopia di documento di identità (e dell’eventuale coniuge in regime di comunione legale dei beni); </w:t>
      </w:r>
    </w:p>
    <w:p w:rsidR="001E27F9" w:rsidRDefault="001E27F9" w:rsidP="001E27F9">
      <w:pPr>
        <w:overflowPunct/>
        <w:spacing w:line="360" w:lineRule="auto"/>
        <w:ind w:left="426"/>
        <w:jc w:val="both"/>
        <w:textAlignment w:val="auto"/>
        <w:rPr>
          <w:rFonts w:ascii="Goudy Old Style" w:hAnsi="Goudy Old Style"/>
          <w:color w:val="000000"/>
          <w:sz w:val="26"/>
          <w:szCs w:val="26"/>
        </w:rPr>
      </w:pPr>
      <w:r>
        <w:rPr>
          <w:rFonts w:ascii="Goudy Old Style" w:hAnsi="Goudy Old Style"/>
          <w:color w:val="000000"/>
          <w:sz w:val="26"/>
          <w:szCs w:val="26"/>
        </w:rPr>
        <w:t xml:space="preserve">- </w:t>
      </w:r>
      <w:r w:rsidR="003C33C2" w:rsidRPr="003C33C2">
        <w:rPr>
          <w:rFonts w:ascii="Goudy Old Style" w:hAnsi="Goudy Old Style"/>
          <w:color w:val="000000"/>
          <w:sz w:val="26"/>
          <w:szCs w:val="26"/>
        </w:rPr>
        <w:t xml:space="preserve">Se l’offerente è una società: visura camerale aggiornata, copia del documento di identità di chi ha sottoscritto l’offerta in rappresentanza della società e parteciperà alla gara e, qualora si tratti di soggetto diverso dal legale rappresentante, copia dell’atto da cui risulti o i relativi poteri; </w:t>
      </w:r>
    </w:p>
    <w:p w:rsidR="001E27F9" w:rsidRDefault="001E27F9" w:rsidP="001E27F9">
      <w:pPr>
        <w:overflowPunct/>
        <w:spacing w:line="360" w:lineRule="auto"/>
        <w:ind w:left="426"/>
        <w:jc w:val="both"/>
        <w:textAlignment w:val="auto"/>
        <w:rPr>
          <w:rFonts w:ascii="Goudy Old Style" w:hAnsi="Goudy Old Style"/>
          <w:color w:val="000000"/>
          <w:sz w:val="26"/>
          <w:szCs w:val="26"/>
        </w:rPr>
      </w:pPr>
      <w:r>
        <w:rPr>
          <w:rFonts w:ascii="Goudy Old Style" w:hAnsi="Goudy Old Style"/>
          <w:color w:val="000000"/>
          <w:sz w:val="26"/>
          <w:szCs w:val="26"/>
        </w:rPr>
        <w:t xml:space="preserve">- </w:t>
      </w:r>
      <w:r w:rsidR="003C33C2" w:rsidRPr="003C33C2">
        <w:rPr>
          <w:rFonts w:ascii="Goudy Old Style" w:hAnsi="Goudy Old Style"/>
          <w:color w:val="000000"/>
          <w:sz w:val="26"/>
          <w:szCs w:val="26"/>
        </w:rPr>
        <w:t xml:space="preserve">Nell’ipotesi in cui la cauzione sia versata a mezzo bonifico, dovrà essere allegata copia della contabile di bonifico; </w:t>
      </w:r>
    </w:p>
    <w:p w:rsidR="003C33C2" w:rsidRPr="003C33C2" w:rsidRDefault="001E27F9" w:rsidP="001E27F9">
      <w:pPr>
        <w:overflowPunct/>
        <w:spacing w:line="360" w:lineRule="auto"/>
        <w:ind w:left="426"/>
        <w:jc w:val="both"/>
        <w:textAlignment w:val="auto"/>
        <w:rPr>
          <w:rFonts w:ascii="Goudy Old Style" w:hAnsi="Goudy Old Style"/>
          <w:color w:val="000000"/>
          <w:sz w:val="26"/>
          <w:szCs w:val="26"/>
        </w:rPr>
      </w:pPr>
      <w:r>
        <w:rPr>
          <w:rFonts w:ascii="Goudy Old Style" w:hAnsi="Goudy Old Style"/>
          <w:color w:val="000000"/>
          <w:sz w:val="26"/>
          <w:szCs w:val="26"/>
        </w:rPr>
        <w:t xml:space="preserve">- </w:t>
      </w:r>
      <w:r w:rsidR="00A63866">
        <w:rPr>
          <w:rFonts w:ascii="Goudy Old Style" w:hAnsi="Goudy Old Style"/>
          <w:color w:val="000000"/>
          <w:sz w:val="26"/>
          <w:szCs w:val="26"/>
        </w:rPr>
        <w:t>Nell’ipotesi in cui l’</w:t>
      </w:r>
      <w:r w:rsidR="003C33C2" w:rsidRPr="003C33C2">
        <w:rPr>
          <w:rFonts w:ascii="Goudy Old Style" w:hAnsi="Goudy Old Style"/>
          <w:color w:val="000000"/>
          <w:sz w:val="26"/>
          <w:szCs w:val="26"/>
        </w:rPr>
        <w:t xml:space="preserve">offerta sia trasmessa a mezzo </w:t>
      </w:r>
      <w:proofErr w:type="spellStart"/>
      <w:r w:rsidR="00A63866">
        <w:rPr>
          <w:rFonts w:ascii="Goudy Old Style" w:hAnsi="Goudy Old Style"/>
          <w:color w:val="000000"/>
          <w:sz w:val="26"/>
          <w:szCs w:val="26"/>
        </w:rPr>
        <w:t>p.e.c</w:t>
      </w:r>
      <w:proofErr w:type="spellEnd"/>
      <w:r w:rsidR="00A63866">
        <w:rPr>
          <w:rFonts w:ascii="Goudy Old Style" w:hAnsi="Goudy Old Style"/>
          <w:color w:val="000000"/>
          <w:sz w:val="26"/>
          <w:szCs w:val="26"/>
        </w:rPr>
        <w:t>.</w:t>
      </w:r>
      <w:r w:rsidR="00BF50CF">
        <w:rPr>
          <w:rFonts w:ascii="Goudy Old Style" w:hAnsi="Goudy Old Style"/>
          <w:color w:val="000000"/>
          <w:sz w:val="26"/>
          <w:szCs w:val="26"/>
        </w:rPr>
        <w:t xml:space="preserve"> (fallimentare.tribunale.forli@giustiziacert.it)</w:t>
      </w:r>
      <w:r w:rsidR="003C33C2" w:rsidRPr="003C33C2">
        <w:rPr>
          <w:rFonts w:ascii="Goudy Old Style" w:hAnsi="Goudy Old Style"/>
          <w:color w:val="000000"/>
          <w:sz w:val="26"/>
          <w:szCs w:val="26"/>
        </w:rPr>
        <w:t xml:space="preserve">, tutti i superiori documenti dovranno essere allegati in formato .pdf (scansione per immagine); </w:t>
      </w:r>
    </w:p>
    <w:p w:rsidR="001E27F9" w:rsidRDefault="003C33C2" w:rsidP="003C33C2">
      <w:pPr>
        <w:numPr>
          <w:ilvl w:val="0"/>
          <w:numId w:val="5"/>
        </w:numPr>
        <w:overflowPunct/>
        <w:spacing w:line="360" w:lineRule="auto"/>
        <w:ind w:left="426" w:hanging="426"/>
        <w:jc w:val="both"/>
        <w:textAlignment w:val="auto"/>
        <w:rPr>
          <w:rFonts w:ascii="Goudy Old Style" w:hAnsi="Goudy Old Style"/>
          <w:color w:val="000000"/>
          <w:sz w:val="26"/>
          <w:szCs w:val="26"/>
        </w:rPr>
      </w:pPr>
      <w:r w:rsidRPr="003C33C2">
        <w:rPr>
          <w:rFonts w:ascii="Goudy Old Style" w:hAnsi="Goudy Old Style"/>
          <w:color w:val="000000"/>
          <w:sz w:val="26"/>
          <w:szCs w:val="26"/>
        </w:rPr>
        <w:lastRenderedPageBreak/>
        <w:t xml:space="preserve">Che il Cancelliere ricevente l’offerta provveda ai sensi dell’art. 571 </w:t>
      </w:r>
      <w:proofErr w:type="spellStart"/>
      <w:r w:rsidRPr="003C33C2">
        <w:rPr>
          <w:rFonts w:ascii="Goudy Old Style" w:hAnsi="Goudy Old Style"/>
          <w:color w:val="000000"/>
          <w:sz w:val="26"/>
          <w:szCs w:val="26"/>
        </w:rPr>
        <w:t>u.c.</w:t>
      </w:r>
      <w:proofErr w:type="spellEnd"/>
      <w:r w:rsidRPr="003C33C2">
        <w:rPr>
          <w:rFonts w:ascii="Goudy Old Style" w:hAnsi="Goudy Old Style"/>
          <w:color w:val="000000"/>
          <w:sz w:val="26"/>
          <w:szCs w:val="26"/>
        </w:rPr>
        <w:t xml:space="preserve"> c.p.c. annotando all’esterno della busta chiusa: il nome, previa identificazione, di chi materialmente provvede al deposito; il nome del Giudice delegato; la data dell’udienza fissata per l’esame delle offerte; la data ed ora del deposito; </w:t>
      </w:r>
    </w:p>
    <w:p w:rsidR="00310B31" w:rsidRDefault="003C33C2" w:rsidP="003C33C2">
      <w:pPr>
        <w:numPr>
          <w:ilvl w:val="0"/>
          <w:numId w:val="5"/>
        </w:numPr>
        <w:overflowPunct/>
        <w:spacing w:line="360" w:lineRule="auto"/>
        <w:ind w:left="426" w:hanging="426"/>
        <w:jc w:val="both"/>
        <w:textAlignment w:val="auto"/>
        <w:rPr>
          <w:rFonts w:ascii="Goudy Old Style" w:hAnsi="Goudy Old Style"/>
          <w:color w:val="000000"/>
          <w:sz w:val="26"/>
          <w:szCs w:val="26"/>
        </w:rPr>
      </w:pPr>
      <w:r w:rsidRPr="001E27F9">
        <w:rPr>
          <w:rFonts w:ascii="Goudy Old Style" w:hAnsi="Goudy Old Style" w:cs="Wingdings"/>
          <w:color w:val="000000"/>
          <w:sz w:val="26"/>
          <w:szCs w:val="26"/>
        </w:rPr>
        <w:t xml:space="preserve">Che le offerte non siano efficaci nei casi espressamente previsti dall’art. 571 comma 2° c.p.c.; </w:t>
      </w:r>
    </w:p>
    <w:p w:rsidR="00310B31" w:rsidRDefault="003C33C2" w:rsidP="003C33C2">
      <w:pPr>
        <w:numPr>
          <w:ilvl w:val="0"/>
          <w:numId w:val="5"/>
        </w:numPr>
        <w:overflowPunct/>
        <w:spacing w:line="360" w:lineRule="auto"/>
        <w:ind w:left="426" w:hanging="426"/>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le buste contenenti le offerte presentante siano aperte </w:t>
      </w:r>
      <w:r w:rsidRPr="00310B31">
        <w:rPr>
          <w:rFonts w:ascii="Goudy Old Style" w:hAnsi="Goudy Old Style"/>
          <w:b/>
          <w:bCs/>
          <w:color w:val="000000"/>
          <w:sz w:val="26"/>
          <w:szCs w:val="26"/>
        </w:rPr>
        <w:t>all’udienza fissata per il giorno</w:t>
      </w:r>
      <w:proofErr w:type="gramStart"/>
      <w:r w:rsidR="00E52123" w:rsidRPr="00310B31">
        <w:rPr>
          <w:rFonts w:ascii="Goudy Old Style" w:hAnsi="Goudy Old Style"/>
          <w:b/>
          <w:bCs/>
          <w:color w:val="000000"/>
          <w:sz w:val="26"/>
          <w:szCs w:val="26"/>
        </w:rPr>
        <w:t xml:space="preserve"> </w:t>
      </w:r>
      <w:r w:rsidR="001E27F9" w:rsidRPr="00310B31">
        <w:rPr>
          <w:rFonts w:ascii="Goudy Old Style" w:hAnsi="Goudy Old Style"/>
          <w:b/>
          <w:bCs/>
          <w:color w:val="000000"/>
          <w:sz w:val="26"/>
          <w:szCs w:val="26"/>
        </w:rPr>
        <w:t>….</w:t>
      </w:r>
      <w:proofErr w:type="gramEnd"/>
      <w:r w:rsidR="001E27F9" w:rsidRPr="00310B31">
        <w:rPr>
          <w:rFonts w:ascii="Goudy Old Style" w:hAnsi="Goudy Old Style"/>
          <w:b/>
          <w:bCs/>
          <w:color w:val="000000"/>
          <w:sz w:val="26"/>
          <w:szCs w:val="26"/>
        </w:rPr>
        <w:t>.</w:t>
      </w:r>
      <w:r w:rsidRPr="00310B31">
        <w:rPr>
          <w:rFonts w:ascii="Goudy Old Style" w:hAnsi="Goudy Old Style"/>
          <w:b/>
          <w:bCs/>
          <w:color w:val="000000"/>
          <w:sz w:val="26"/>
          <w:szCs w:val="26"/>
        </w:rPr>
        <w:t xml:space="preserve"> </w:t>
      </w:r>
      <w:r w:rsidRPr="00310B31">
        <w:rPr>
          <w:rFonts w:ascii="Goudy Old Style" w:hAnsi="Goudy Old Style"/>
          <w:color w:val="000000"/>
          <w:sz w:val="26"/>
          <w:szCs w:val="26"/>
        </w:rPr>
        <w:t xml:space="preserve">ai sensi degli artt. 571 e seg. c.p.c., nell’ufficio del Giudice Delegato al fallimento, presso il Tribunale di Forlì, piazza Beccaria n. 1, II piano, stanza n. 46; </w:t>
      </w:r>
    </w:p>
    <w:p w:rsidR="003C33C2" w:rsidRPr="00310B31" w:rsidRDefault="003C33C2" w:rsidP="003C33C2">
      <w:pPr>
        <w:numPr>
          <w:ilvl w:val="0"/>
          <w:numId w:val="5"/>
        </w:numPr>
        <w:overflowPunct/>
        <w:spacing w:line="360" w:lineRule="auto"/>
        <w:ind w:left="426" w:hanging="426"/>
        <w:jc w:val="both"/>
        <w:textAlignment w:val="auto"/>
        <w:rPr>
          <w:rFonts w:ascii="Goudy Old Style" w:hAnsi="Goudy Old Style"/>
          <w:color w:val="000000"/>
          <w:sz w:val="26"/>
          <w:szCs w:val="26"/>
        </w:rPr>
      </w:pPr>
      <w:r w:rsidRPr="00310B31">
        <w:rPr>
          <w:rFonts w:ascii="Goudy Old Style" w:hAnsi="Goudy Old Style"/>
          <w:color w:val="000000"/>
          <w:sz w:val="26"/>
          <w:szCs w:val="26"/>
        </w:rPr>
        <w:t>Che, nel caso di presentazione di un’</w:t>
      </w:r>
      <w:r w:rsidRPr="00310B31">
        <w:rPr>
          <w:rFonts w:ascii="Goudy Old Style" w:hAnsi="Goudy Old Style"/>
          <w:b/>
          <w:bCs/>
          <w:color w:val="000000"/>
          <w:sz w:val="26"/>
          <w:szCs w:val="26"/>
        </w:rPr>
        <w:t>unica offer</w:t>
      </w:r>
      <w:r w:rsidRPr="00310B31">
        <w:rPr>
          <w:rFonts w:ascii="Goudy Old Style" w:hAnsi="Goudy Old Style"/>
          <w:color w:val="000000"/>
          <w:sz w:val="26"/>
          <w:szCs w:val="26"/>
        </w:rPr>
        <w:t>ta conformemente alle previsioni di cu</w:t>
      </w:r>
      <w:r w:rsidR="00A63866">
        <w:rPr>
          <w:rFonts w:ascii="Goudy Old Style" w:hAnsi="Goudy Old Style"/>
          <w:color w:val="000000"/>
          <w:sz w:val="26"/>
          <w:szCs w:val="26"/>
        </w:rPr>
        <w:t>i all’art. 572 c.p.c. si procederà</w:t>
      </w:r>
      <w:r w:rsidRPr="00310B31">
        <w:rPr>
          <w:rFonts w:ascii="Goudy Old Style" w:hAnsi="Goudy Old Style"/>
          <w:color w:val="000000"/>
          <w:sz w:val="26"/>
          <w:szCs w:val="26"/>
        </w:rPr>
        <w:t xml:space="preserve"> all’aggiudicazione con le seguenti modalità: </w:t>
      </w:r>
    </w:p>
    <w:p w:rsidR="00310B31" w:rsidRDefault="00310B31" w:rsidP="00310B31">
      <w:pPr>
        <w:numPr>
          <w:ilvl w:val="0"/>
          <w:numId w:val="6"/>
        </w:num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Qualora l’offerta sia pari o superiore al valore dell’immobile stabilito nell’ordinanza di vendita, la stessa sarà senz’altro accolta; </w:t>
      </w:r>
    </w:p>
    <w:p w:rsidR="00310B31" w:rsidRPr="00310B31" w:rsidRDefault="00310B31" w:rsidP="00310B31">
      <w:pPr>
        <w:numPr>
          <w:ilvl w:val="0"/>
          <w:numId w:val="6"/>
        </w:numPr>
        <w:overflowPunct/>
        <w:spacing w:line="360" w:lineRule="auto"/>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Qualora il prezzo offerto sia inferiore rispetto al prezzo stabilito nell’ordinanza di vendita in misura non superiore ad un quarto, il giudice potrà far luogo alla vendita solo ove non ritenga che vi </w:t>
      </w:r>
      <w:r w:rsidRPr="00310B31">
        <w:rPr>
          <w:rFonts w:ascii="Goudy Old Style" w:hAnsi="Goudy Old Style"/>
          <w:sz w:val="26"/>
          <w:szCs w:val="26"/>
        </w:rPr>
        <w:t>sia una seria possibilità di conseguire un prezzo superiore con una nuova vendita;</w:t>
      </w:r>
    </w:p>
    <w:p w:rsid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Che, nel caso di più offerenti, ai sensi dell’art. 573 c.p.c., si procederà alla </w:t>
      </w:r>
      <w:r w:rsidRPr="003C33C2">
        <w:rPr>
          <w:rFonts w:ascii="Goudy Old Style" w:hAnsi="Goudy Old Style"/>
          <w:b/>
          <w:bCs/>
          <w:color w:val="000000"/>
          <w:sz w:val="26"/>
          <w:szCs w:val="26"/>
        </w:rPr>
        <w:t xml:space="preserve">gara </w:t>
      </w:r>
      <w:r w:rsidRPr="003C33C2">
        <w:rPr>
          <w:rFonts w:ascii="Goudy Old Style" w:hAnsi="Goudy Old Style"/>
          <w:color w:val="000000"/>
          <w:sz w:val="26"/>
          <w:szCs w:val="26"/>
        </w:rPr>
        <w:t>tra gli stessi, con base di partenza l’offerta più alta ed aumento minimo come di seguito indicato. Le offerte in aumento sull’offerta più alta non potranno essere inferiori a</w:t>
      </w:r>
      <w:r w:rsidR="00162D55">
        <w:rPr>
          <w:rFonts w:ascii="Goudy Old Style" w:hAnsi="Goudy Old Style"/>
          <w:color w:val="000000"/>
          <w:sz w:val="26"/>
          <w:szCs w:val="26"/>
        </w:rPr>
        <w:t>l 2% del prezzo indicato</w:t>
      </w:r>
      <w:r w:rsidRPr="003C33C2">
        <w:rPr>
          <w:rFonts w:ascii="Goudy Old Style" w:hAnsi="Goudy Old Style"/>
          <w:color w:val="000000"/>
          <w:sz w:val="26"/>
          <w:szCs w:val="26"/>
        </w:rPr>
        <w:t xml:space="preserve">; </w:t>
      </w:r>
    </w:p>
    <w:p w:rsid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se la gara non può aver luogo per mancanza di adesioni degli offerenti, il Giudice Delegato </w:t>
      </w:r>
      <w:r w:rsidR="001B6834" w:rsidRPr="00310B31">
        <w:rPr>
          <w:rFonts w:ascii="Goudy Old Style" w:hAnsi="Goudy Old Style"/>
          <w:color w:val="000000"/>
          <w:sz w:val="26"/>
          <w:szCs w:val="26"/>
        </w:rPr>
        <w:t xml:space="preserve">procederà </w:t>
      </w:r>
      <w:r w:rsidR="001B6834" w:rsidRPr="00310B31">
        <w:rPr>
          <w:rFonts w:ascii="Goudy Old Style" w:hAnsi="Goudy Old Style"/>
          <w:sz w:val="26"/>
          <w:szCs w:val="26"/>
        </w:rPr>
        <w:t xml:space="preserve">all’aggiudicazione in favore della migliore offerta e per la individuazione della stessa, si terrà conto gradatamente dell’entità del prezzo offerto, dell’ammontare della </w:t>
      </w:r>
      <w:r w:rsidR="001B6834" w:rsidRPr="00310B31">
        <w:rPr>
          <w:rFonts w:ascii="Goudy Old Style" w:hAnsi="Goudy Old Style"/>
          <w:sz w:val="26"/>
          <w:szCs w:val="26"/>
        </w:rPr>
        <w:lastRenderedPageBreak/>
        <w:t>cauzione prestata, delle forme, modi e dei tempi di pagamento nonché di ogni altro elemento utile indicato nell’offerta stessa; nel caso in cui le offerte siano tutte equiparabili il bene verrà aggiudicato a chi avrà depositato per primo l’offerta di acquisto (a tal fine, farà fede la data con l’orario di deposito apposta sulla busta dalla Cancelleria);</w:t>
      </w:r>
    </w:p>
    <w:p w:rsid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si potrà procedere all’aggiudicazione all’unico offerente o al maggior offerente anche se non comparso; </w:t>
      </w:r>
    </w:p>
    <w:p w:rsid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il prezzo sia versato entro </w:t>
      </w:r>
      <w:r w:rsidR="001B6834" w:rsidRPr="00310B31">
        <w:rPr>
          <w:rFonts w:ascii="Goudy Old Style" w:hAnsi="Goudy Old Style"/>
          <w:color w:val="000000"/>
          <w:sz w:val="26"/>
          <w:szCs w:val="26"/>
        </w:rPr>
        <w:t>120</w:t>
      </w:r>
      <w:r w:rsidRPr="00310B31">
        <w:rPr>
          <w:rFonts w:ascii="Goudy Old Style" w:hAnsi="Goudy Old Style"/>
          <w:color w:val="000000"/>
          <w:sz w:val="26"/>
          <w:szCs w:val="26"/>
        </w:rPr>
        <w:t xml:space="preserve"> giorni dall’aggiudicazione, se l’offerta non contiene l’indicazione di un minor termine, al Curatore a mezzo assegno circolare intestato alla procedura fallimentare ovvero a mezzo bonifico sul rapporto bancario della procedura fallimentare secondo le indicazioni che verranno fornite dal Curatore; </w:t>
      </w:r>
    </w:p>
    <w:p w:rsid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la cauzione sia impiegata per il pagamento degli oneri fiscali e per le altre spese di vendita a carico dell’aggiudicatario; qualora la cauzione non sia sufficiente le residue somme dovute per oneri fiscali e spese dovranno essere versate in uno con il pagamento del prezzo di vendita; </w:t>
      </w:r>
    </w:p>
    <w:p w:rsidR="003C33C2" w:rsidRPr="00310B31" w:rsidRDefault="003C33C2" w:rsidP="003C33C2">
      <w:pPr>
        <w:numPr>
          <w:ilvl w:val="0"/>
          <w:numId w:val="7"/>
        </w:numPr>
        <w:overflowPunct/>
        <w:spacing w:line="360" w:lineRule="auto"/>
        <w:ind w:left="426" w:hanging="437"/>
        <w:jc w:val="both"/>
        <w:textAlignment w:val="auto"/>
        <w:rPr>
          <w:rFonts w:ascii="Goudy Old Style" w:hAnsi="Goudy Old Style"/>
          <w:color w:val="000000"/>
          <w:sz w:val="26"/>
          <w:szCs w:val="26"/>
        </w:rPr>
      </w:pPr>
      <w:r w:rsidRPr="00310B31">
        <w:rPr>
          <w:rFonts w:ascii="Goudy Old Style" w:hAnsi="Goudy Old Style"/>
          <w:color w:val="000000"/>
          <w:sz w:val="26"/>
          <w:szCs w:val="26"/>
        </w:rPr>
        <w:t xml:space="preserve">Che, il Giudice Delegato si riserva di provvedere qualora non siano proposte offerte di acquisto nel termine stabilito, ovvero nel caso in cui esse risultino inefficaci ex art. 571 c.p.c.: </w:t>
      </w:r>
    </w:p>
    <w:p w:rsidR="003C33C2" w:rsidRPr="003C33C2" w:rsidRDefault="003C33C2" w:rsidP="00310B31">
      <w:pPr>
        <w:overflowPunct/>
        <w:spacing w:line="360" w:lineRule="auto"/>
        <w:jc w:val="center"/>
        <w:textAlignment w:val="auto"/>
        <w:rPr>
          <w:rFonts w:ascii="Goudy Old Style" w:hAnsi="Goudy Old Style"/>
          <w:color w:val="000000"/>
          <w:sz w:val="26"/>
          <w:szCs w:val="26"/>
        </w:rPr>
      </w:pPr>
      <w:r w:rsidRPr="003C33C2">
        <w:rPr>
          <w:rFonts w:ascii="Goudy Old Style" w:hAnsi="Goudy Old Style"/>
          <w:b/>
          <w:bCs/>
          <w:color w:val="000000"/>
          <w:sz w:val="26"/>
          <w:szCs w:val="26"/>
        </w:rPr>
        <w:t>PRECISA</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alla consistenza, regolarità urbanistica e conformità: </w:t>
      </w:r>
    </w:p>
    <w:p w:rsidR="003C33C2" w:rsidRPr="003C33C2" w:rsidRDefault="003C33C2" w:rsidP="00336B53">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Gli immobili sono posti in vendita nella consistenza indicata nella perizia redatta dallo stimatore (che deve intendersi qui per intero richiamata e trascritta); quanto alle indicazioni della normativa relativa alle regolarità urbanistica degli immobili si richiamato nel presente avviso le indicazioni e gli accertamenti operati dal medesimo stimatore. La vendita avviene nello stato di fatto e di diritto in cui i beni si trovano, fermo il disposto di cui all’art. 2922 c.c., con tutte le eventuali pertinenze, accessioni, ragioni ed azioni, servitù attive e passive. La vendita è a corpo e non a misura </w:t>
      </w:r>
      <w:r w:rsidRPr="003C33C2">
        <w:rPr>
          <w:rFonts w:ascii="Goudy Old Style" w:hAnsi="Goudy Old Style"/>
          <w:color w:val="000000"/>
          <w:sz w:val="26"/>
          <w:szCs w:val="26"/>
        </w:rPr>
        <w:lastRenderedPageBreak/>
        <w:t xml:space="preserve">(eventuali differenze di misura non potranno dar luogo ad alcun risarcimento, indennità o riduzione del prezzo). Agli effetti del D.M. 22/01/2008 n. 37 e del </w:t>
      </w:r>
      <w:proofErr w:type="spellStart"/>
      <w:r w:rsidRPr="003C33C2">
        <w:rPr>
          <w:rFonts w:ascii="Goudy Old Style" w:hAnsi="Goudy Old Style"/>
          <w:color w:val="000000"/>
          <w:sz w:val="26"/>
          <w:szCs w:val="26"/>
        </w:rPr>
        <w:t>D.Lgs</w:t>
      </w:r>
      <w:r w:rsidR="00A63866">
        <w:rPr>
          <w:rFonts w:ascii="Goudy Old Style" w:hAnsi="Goudy Old Style"/>
          <w:color w:val="000000"/>
          <w:sz w:val="26"/>
          <w:szCs w:val="26"/>
        </w:rPr>
        <w:t>.</w:t>
      </w:r>
      <w:proofErr w:type="spellEnd"/>
      <w:r w:rsidRPr="003C33C2">
        <w:rPr>
          <w:rFonts w:ascii="Goudy Old Style" w:hAnsi="Goudy Old Style"/>
          <w:color w:val="000000"/>
          <w:sz w:val="26"/>
          <w:szCs w:val="26"/>
        </w:rPr>
        <w:t xml:space="preserve"> 192/05 e </w:t>
      </w:r>
      <w:proofErr w:type="spellStart"/>
      <w:r w:rsidRPr="003C33C2">
        <w:rPr>
          <w:rFonts w:ascii="Goudy Old Style" w:hAnsi="Goudy Old Style"/>
          <w:color w:val="000000"/>
          <w:sz w:val="26"/>
          <w:szCs w:val="26"/>
        </w:rPr>
        <w:t>s.m.i.</w:t>
      </w:r>
      <w:proofErr w:type="spellEnd"/>
      <w:r w:rsidRPr="003C33C2">
        <w:rPr>
          <w:rFonts w:ascii="Goudy Old Style" w:hAnsi="Goudy Old Style"/>
          <w:color w:val="000000"/>
          <w:sz w:val="26"/>
          <w:szCs w:val="26"/>
        </w:rPr>
        <w:t xml:space="preserve">, l’aggiudicatario, dichiarandosi edotto sui contenuti dell’ordinanza di vendita e sulle descrizioni indicate nell’elaborato peritale in ordine agli impianti, dispenserà esplicitamente la procedura fallimentare dal produrre la certificazione relativa alla conformità degli stessi alle norme sulla sicurezza, manifestando di voler assumere direttamente tale incombente, qualora fosse richiesto; </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all’assenza di garanzia per vizi: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La vendita forzata non è soggetta alle norme concernenti la garanzia per vizi o mancanza di qualità, né potrà essere revocata per alcun motivo: l’esistenza di eventuali vizi, mancanza di qualità o difformità della cosa venduta, onere di qualsiasi genere, ivi compresi, ad esempio, quelle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già tenuto conto nella valutazione dei beni ed essendo già stata applicata una riduzione del valore; </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alla cancellazione dei gravami: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L’immobile sarà liberato, ai sensi dell’art. 108 l. </w:t>
      </w:r>
      <w:proofErr w:type="spellStart"/>
      <w:proofErr w:type="gramStart"/>
      <w:r w:rsidRPr="003C33C2">
        <w:rPr>
          <w:rFonts w:ascii="Goudy Old Style" w:hAnsi="Goudy Old Style"/>
          <w:color w:val="000000"/>
          <w:sz w:val="26"/>
          <w:szCs w:val="26"/>
        </w:rPr>
        <w:t>fall</w:t>
      </w:r>
      <w:proofErr w:type="spellEnd"/>
      <w:r w:rsidRPr="003C33C2">
        <w:rPr>
          <w:rFonts w:ascii="Goudy Old Style" w:hAnsi="Goudy Old Style"/>
          <w:color w:val="000000"/>
          <w:sz w:val="26"/>
          <w:szCs w:val="26"/>
        </w:rPr>
        <w:t>.,</w:t>
      </w:r>
      <w:proofErr w:type="gramEnd"/>
      <w:r w:rsidRPr="003C33C2">
        <w:rPr>
          <w:rFonts w:ascii="Goudy Old Style" w:hAnsi="Goudy Old Style"/>
          <w:color w:val="000000"/>
          <w:sz w:val="26"/>
          <w:szCs w:val="26"/>
        </w:rPr>
        <w:t xml:space="preserve"> da iscrizioni ipotecarie e da trascrizioni di pignoramenti esistenti al momento della vendita; non saranno cancellate le eventuali ulteriori trascrizioni pregiudizievoli esistenti (es. domande giudiziali, fondi patrimoniali, trust), anche ove inopponibili.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Le spese di registrazione, trascrizione, voltura, cancellazione di tutte le trascrizioni ed iscrizioni pregiudizievoli e l’eventuale I.V.A. sono a carico dell’aggiudicatario come pure le spese per l’acquisizione del certificato </w:t>
      </w:r>
      <w:r w:rsidRPr="003C33C2">
        <w:rPr>
          <w:rFonts w:ascii="Goudy Old Style" w:hAnsi="Goudy Old Style"/>
          <w:color w:val="000000"/>
          <w:sz w:val="26"/>
          <w:szCs w:val="26"/>
        </w:rPr>
        <w:lastRenderedPageBreak/>
        <w:t xml:space="preserve">energetico previsto dal d.lgs. 192/2005 come modificato dal d.lgs. 311/2006; </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agli oneri a carico dell’aggiudicatario: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Tutti gli oneri, i diritti, i tributi e le spese derivanti a qualsiasi titolo dalla vendita saranno poste a carico dell’aggiudicatario, il quale dovrà altresì provvedere alla sanatoria delle eventuali violazioni della l. n. 47/1985 secondo le prescrizioni impartite all’uopo dall’Autorità Amministrativa.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La presente vendita è soggetta ad imposta di registro (o I.V.A.) secondo le aliquote di legge; in caso di richiesta di tassazione agevolata, l’aggiudicatario è tenuto a consegnare al Curatore, contestualmente al saldo prezzo, le relative dichiarazioni ai fini fiscali in originale, unitamente alla copia del documento di identità; dovrà in ogni caso essere consegnata al Curatore l’eventuale dichiarazione resa a norma del </w:t>
      </w:r>
      <w:proofErr w:type="spellStart"/>
      <w:r w:rsidRPr="003C33C2">
        <w:rPr>
          <w:rFonts w:ascii="Goudy Old Style" w:hAnsi="Goudy Old Style"/>
          <w:color w:val="000000"/>
          <w:sz w:val="26"/>
          <w:szCs w:val="26"/>
        </w:rPr>
        <w:t>d.p.r.</w:t>
      </w:r>
      <w:proofErr w:type="spellEnd"/>
      <w:r w:rsidRPr="003C33C2">
        <w:rPr>
          <w:rFonts w:ascii="Goudy Old Style" w:hAnsi="Goudy Old Style"/>
          <w:color w:val="000000"/>
          <w:sz w:val="26"/>
          <w:szCs w:val="26"/>
        </w:rPr>
        <w:t xml:space="preserve"> 445/2000 (ad es. sulla ricezione delle informazioni relative alla prestazione energetica); ove ne ricorra l’ipotesi dovrà essere consegnata al Curatore anche la dichiarazione del coniuge non offerente al fine dell’esclusione del bene dalla comunione legale; l’aggiudicatario sarà tenuto in solido, ai sensi dell’art. 63 </w:t>
      </w:r>
      <w:proofErr w:type="spellStart"/>
      <w:r w:rsidRPr="003C33C2">
        <w:rPr>
          <w:rFonts w:ascii="Goudy Old Style" w:hAnsi="Goudy Old Style"/>
          <w:color w:val="000000"/>
          <w:sz w:val="26"/>
          <w:szCs w:val="26"/>
        </w:rPr>
        <w:t>disp</w:t>
      </w:r>
      <w:proofErr w:type="spellEnd"/>
      <w:r w:rsidRPr="003C33C2">
        <w:rPr>
          <w:rFonts w:ascii="Goudy Old Style" w:hAnsi="Goudy Old Style"/>
          <w:color w:val="000000"/>
          <w:sz w:val="26"/>
          <w:szCs w:val="26"/>
        </w:rPr>
        <w:t xml:space="preserve">. </w:t>
      </w:r>
      <w:proofErr w:type="spellStart"/>
      <w:r w:rsidRPr="003C33C2">
        <w:rPr>
          <w:rFonts w:ascii="Goudy Old Style" w:hAnsi="Goudy Old Style"/>
          <w:color w:val="000000"/>
          <w:sz w:val="26"/>
          <w:szCs w:val="26"/>
        </w:rPr>
        <w:t>att</w:t>
      </w:r>
      <w:proofErr w:type="spellEnd"/>
      <w:r w:rsidRPr="003C33C2">
        <w:rPr>
          <w:rFonts w:ascii="Goudy Old Style" w:hAnsi="Goudy Old Style"/>
          <w:color w:val="000000"/>
          <w:sz w:val="26"/>
          <w:szCs w:val="26"/>
        </w:rPr>
        <w:t xml:space="preserve">. c.c., alle eventuali spese condominiali arretrate relative all’anno solare in corso al momento dell’emissione del decreto di trasferimento ed a quelle relative all’anno precedente; </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al trasferimento della proprietà: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La proprietà, il possesso ed il godimento del cespite ed in genere ogni diritto attivo e passivo derivante dall’acquisto saranno a favore ed a carico dell’aggiudicatario a far data dal decreto di trasferimento, che verrà emesso a seguito del saldo integrale del prezzo di aggiudicazione e dei predetti oneri conseguenti alla vendita, nell’entità che verrà comunicata a cura del Curatore.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t xml:space="preserve">Gli immobili verranno consegnati all’acquirente liberi di persone e/o cose, fatti salvi quelli in precedenza specificati che risultano occupati in forza di titoli opponibili alla procedura; </w:t>
      </w:r>
    </w:p>
    <w:p w:rsidR="003C33C2" w:rsidRPr="003C33C2" w:rsidRDefault="00336B53" w:rsidP="003C33C2">
      <w:pPr>
        <w:overflowPunct/>
        <w:spacing w:line="360" w:lineRule="auto"/>
        <w:jc w:val="both"/>
        <w:textAlignment w:val="auto"/>
        <w:rPr>
          <w:rFonts w:ascii="Goudy Old Style" w:hAnsi="Goudy Old Style"/>
          <w:color w:val="000000"/>
          <w:sz w:val="26"/>
          <w:szCs w:val="26"/>
        </w:rPr>
      </w:pPr>
      <w:r>
        <w:rPr>
          <w:rFonts w:ascii="Goudy Old Style" w:hAnsi="Goudy Old Style" w:cs="Wingdings"/>
          <w:color w:val="000000"/>
          <w:sz w:val="26"/>
          <w:szCs w:val="26"/>
        </w:rPr>
        <w:t>-</w:t>
      </w:r>
      <w:r w:rsidR="003C33C2" w:rsidRPr="003C33C2">
        <w:rPr>
          <w:rFonts w:ascii="Goudy Old Style" w:hAnsi="Goudy Old Style" w:cs="Wingdings"/>
          <w:color w:val="000000"/>
          <w:sz w:val="26"/>
          <w:szCs w:val="26"/>
        </w:rPr>
        <w:t xml:space="preserve"> </w:t>
      </w:r>
      <w:r w:rsidR="003C33C2" w:rsidRPr="003C33C2">
        <w:rPr>
          <w:rFonts w:ascii="Goudy Old Style" w:hAnsi="Goudy Old Style"/>
          <w:b/>
          <w:bCs/>
          <w:color w:val="000000"/>
          <w:sz w:val="26"/>
          <w:szCs w:val="26"/>
        </w:rPr>
        <w:t xml:space="preserve">in merito alla pubblicità ed informazioni: </w:t>
      </w:r>
    </w:p>
    <w:p w:rsidR="003C33C2" w:rsidRPr="003C33C2" w:rsidRDefault="003C33C2" w:rsidP="003C33C2">
      <w:pPr>
        <w:overflowPunct/>
        <w:spacing w:line="360" w:lineRule="auto"/>
        <w:jc w:val="both"/>
        <w:textAlignment w:val="auto"/>
        <w:rPr>
          <w:rFonts w:ascii="Goudy Old Style" w:hAnsi="Goudy Old Style"/>
          <w:color w:val="000000"/>
          <w:sz w:val="26"/>
          <w:szCs w:val="26"/>
        </w:rPr>
      </w:pPr>
      <w:r w:rsidRPr="003C33C2">
        <w:rPr>
          <w:rFonts w:ascii="Goudy Old Style" w:hAnsi="Goudy Old Style"/>
          <w:color w:val="000000"/>
          <w:sz w:val="26"/>
          <w:szCs w:val="26"/>
        </w:rPr>
        <w:lastRenderedPageBreak/>
        <w:t>La pubblicità inerente la vendita verrà eseguita a cura del Curatore almeno 45 giorni prima del termine fissato per la presentazione delle offerte, tramite pubblicazione per estratto del presente avviso secondo i requisiti informativi previsti dalla legge; maggiori informazioni e chiarimenti potranno essere chiesti al medesimo Curatore, presso il cui studio sarà possibile estrarre/visionare la perizia di stima ed i relativi allegati nella</w:t>
      </w:r>
      <w:r w:rsidR="00310B31">
        <w:rPr>
          <w:rFonts w:ascii="Goudy Old Style" w:hAnsi="Goudy Old Style"/>
          <w:color w:val="000000"/>
          <w:sz w:val="26"/>
          <w:szCs w:val="26"/>
        </w:rPr>
        <w:t xml:space="preserve"> versione ostensibile ai terzi</w:t>
      </w:r>
      <w:r w:rsidRPr="003C33C2">
        <w:rPr>
          <w:rFonts w:ascii="Goudy Old Style" w:hAnsi="Goudy Old Style"/>
          <w:color w:val="000000"/>
          <w:sz w:val="26"/>
          <w:szCs w:val="26"/>
        </w:rPr>
        <w:t xml:space="preserve">. </w:t>
      </w:r>
    </w:p>
    <w:p w:rsidR="00310B31" w:rsidRDefault="003C33C2" w:rsidP="003C33C2">
      <w:pPr>
        <w:pStyle w:val="Pretura"/>
        <w:ind w:firstLine="0"/>
        <w:rPr>
          <w:rFonts w:ascii="Goudy Old Style" w:hAnsi="Goudy Old Style"/>
          <w:color w:val="000000"/>
          <w:sz w:val="26"/>
          <w:szCs w:val="26"/>
        </w:rPr>
      </w:pPr>
      <w:r w:rsidRPr="003C33C2">
        <w:rPr>
          <w:rFonts w:ascii="Goudy Old Style" w:hAnsi="Goudy Old Style"/>
          <w:color w:val="000000"/>
          <w:sz w:val="26"/>
          <w:szCs w:val="26"/>
        </w:rPr>
        <w:t xml:space="preserve">Il Curatore provvederà ad effettuare la pubblicità di legge, a notificare la presente ordinanza ai creditori con diritto di prelazione risultanti dai pubblici registri </w:t>
      </w:r>
      <w:r w:rsidR="00310B31">
        <w:rPr>
          <w:rFonts w:ascii="Goudy Old Style" w:hAnsi="Goudy Old Style"/>
          <w:color w:val="000000"/>
          <w:sz w:val="26"/>
          <w:szCs w:val="26"/>
        </w:rPr>
        <w:t xml:space="preserve">ex art. 107, co. 3, </w:t>
      </w:r>
      <w:proofErr w:type="spellStart"/>
      <w:r w:rsidR="00310B31">
        <w:rPr>
          <w:rFonts w:ascii="Goudy Old Style" w:hAnsi="Goudy Old Style"/>
          <w:color w:val="000000"/>
          <w:sz w:val="26"/>
          <w:szCs w:val="26"/>
        </w:rPr>
        <w:t>l.fall</w:t>
      </w:r>
      <w:proofErr w:type="spellEnd"/>
      <w:r w:rsidR="00310B31">
        <w:rPr>
          <w:rFonts w:ascii="Goudy Old Style" w:hAnsi="Goudy Old Style"/>
          <w:color w:val="000000"/>
          <w:sz w:val="26"/>
          <w:szCs w:val="26"/>
        </w:rPr>
        <w:t xml:space="preserve">. </w:t>
      </w:r>
      <w:r w:rsidRPr="003C33C2">
        <w:rPr>
          <w:rFonts w:ascii="Goudy Old Style" w:hAnsi="Goudy Old Style"/>
          <w:color w:val="000000"/>
          <w:sz w:val="26"/>
          <w:szCs w:val="26"/>
        </w:rPr>
        <w:t>e a compiere tutti gli adempimenti pubblicitari previsti dal</w:t>
      </w:r>
      <w:r w:rsidR="00310B31">
        <w:rPr>
          <w:rFonts w:ascii="Goudy Old Style" w:hAnsi="Goudy Old Style"/>
          <w:color w:val="000000"/>
          <w:sz w:val="26"/>
          <w:szCs w:val="26"/>
        </w:rPr>
        <w:t xml:space="preserve">la circolare di </w:t>
      </w:r>
      <w:r w:rsidR="00BF50CF">
        <w:rPr>
          <w:rFonts w:ascii="Goudy Old Style" w:hAnsi="Goudy Old Style"/>
          <w:color w:val="000000"/>
          <w:sz w:val="26"/>
          <w:szCs w:val="26"/>
        </w:rPr>
        <w:t>questo Tribunale.</w:t>
      </w:r>
      <w:bookmarkStart w:id="0" w:name="_GoBack"/>
      <w:bookmarkEnd w:id="0"/>
    </w:p>
    <w:sectPr w:rsidR="00310B31" w:rsidSect="00F9682D">
      <w:pgSz w:w="11907" w:h="16840"/>
      <w:pgMar w:top="1418" w:right="1701" w:bottom="1701"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91A73"/>
    <w:multiLevelType w:val="hybridMultilevel"/>
    <w:tmpl w:val="C74C4AC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8633A"/>
    <w:multiLevelType w:val="hybridMultilevel"/>
    <w:tmpl w:val="4BCEB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A34399"/>
    <w:multiLevelType w:val="hybridMultilevel"/>
    <w:tmpl w:val="142E7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F1A28"/>
    <w:multiLevelType w:val="hybridMultilevel"/>
    <w:tmpl w:val="BD0265DE"/>
    <w:lvl w:ilvl="0" w:tplc="21ECDC36">
      <w:numFmt w:val="bullet"/>
      <w:lvlText w:val="-"/>
      <w:lvlJc w:val="left"/>
      <w:pPr>
        <w:ind w:left="720" w:hanging="360"/>
      </w:pPr>
      <w:rPr>
        <w:rFonts w:ascii="Goudy Old Style" w:eastAsia="Times New Roman" w:hAnsi="Goudy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AE68B3"/>
    <w:multiLevelType w:val="hybridMultilevel"/>
    <w:tmpl w:val="D616A04E"/>
    <w:lvl w:ilvl="0" w:tplc="98BAC5A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C24F8"/>
    <w:multiLevelType w:val="hybridMultilevel"/>
    <w:tmpl w:val="538A4F46"/>
    <w:lvl w:ilvl="0" w:tplc="8E1E77FA">
      <w:numFmt w:val="bullet"/>
      <w:lvlText w:val="-"/>
      <w:lvlJc w:val="left"/>
      <w:pPr>
        <w:ind w:left="720" w:hanging="360"/>
      </w:pPr>
      <w:rPr>
        <w:rFonts w:ascii="Goudy Old Style" w:eastAsia="Times New Roman" w:hAnsi="Goudy Old Style"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5778C0"/>
    <w:multiLevelType w:val="hybridMultilevel"/>
    <w:tmpl w:val="76A40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F5F"/>
    <w:rsid w:val="00162D55"/>
    <w:rsid w:val="00181441"/>
    <w:rsid w:val="001B6834"/>
    <w:rsid w:val="001E27F9"/>
    <w:rsid w:val="00200568"/>
    <w:rsid w:val="002964C9"/>
    <w:rsid w:val="002C778E"/>
    <w:rsid w:val="00310B31"/>
    <w:rsid w:val="00336B53"/>
    <w:rsid w:val="003C33C2"/>
    <w:rsid w:val="003C4492"/>
    <w:rsid w:val="00402B79"/>
    <w:rsid w:val="004B7F5F"/>
    <w:rsid w:val="005228E1"/>
    <w:rsid w:val="0052783D"/>
    <w:rsid w:val="005377DE"/>
    <w:rsid w:val="006470D2"/>
    <w:rsid w:val="006F4D38"/>
    <w:rsid w:val="00745197"/>
    <w:rsid w:val="007D5CA3"/>
    <w:rsid w:val="0082282B"/>
    <w:rsid w:val="00855122"/>
    <w:rsid w:val="009342DA"/>
    <w:rsid w:val="009516FF"/>
    <w:rsid w:val="00971924"/>
    <w:rsid w:val="00A63866"/>
    <w:rsid w:val="00AD026B"/>
    <w:rsid w:val="00B6623A"/>
    <w:rsid w:val="00BF50CF"/>
    <w:rsid w:val="00C43762"/>
    <w:rsid w:val="00CA2A7F"/>
    <w:rsid w:val="00D5246C"/>
    <w:rsid w:val="00DB4656"/>
    <w:rsid w:val="00E52123"/>
    <w:rsid w:val="00E81FC9"/>
    <w:rsid w:val="00EB1B66"/>
    <w:rsid w:val="00F0595A"/>
    <w:rsid w:val="00F32230"/>
    <w:rsid w:val="00F83088"/>
    <w:rsid w:val="00F96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50220-F2B8-4C29-9718-2AF9B36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46C"/>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45197"/>
    <w:pPr>
      <w:overflowPunct/>
      <w:autoSpaceDE/>
      <w:autoSpaceDN/>
      <w:adjustRightInd/>
      <w:spacing w:before="100" w:beforeAutospacing="1" w:after="100" w:afterAutospacing="1"/>
      <w:textAlignment w:val="auto"/>
    </w:pPr>
    <w:rPr>
      <w:sz w:val="24"/>
      <w:szCs w:val="24"/>
    </w:rPr>
  </w:style>
  <w:style w:type="paragraph" w:customStyle="1" w:styleId="Pretura">
    <w:name w:val="Pretura"/>
    <w:basedOn w:val="Normale"/>
    <w:rsid w:val="00745197"/>
    <w:pPr>
      <w:overflowPunct/>
      <w:autoSpaceDE/>
      <w:autoSpaceDN/>
      <w:adjustRightInd/>
      <w:spacing w:line="360" w:lineRule="auto"/>
      <w:ind w:firstLine="284"/>
      <w:jc w:val="both"/>
      <w:textAlignment w:val="auto"/>
    </w:pPr>
    <w:rPr>
      <w:sz w:val="24"/>
    </w:rPr>
  </w:style>
  <w:style w:type="paragraph" w:customStyle="1" w:styleId="Default">
    <w:name w:val="Default"/>
    <w:rsid w:val="00200568"/>
    <w:pPr>
      <w:autoSpaceDE w:val="0"/>
      <w:autoSpaceDN w:val="0"/>
      <w:adjustRightInd w:val="0"/>
    </w:pPr>
    <w:rPr>
      <w:rFonts w:ascii="Garamond" w:hAnsi="Garamond" w:cs="Garamond"/>
      <w:color w:val="000000"/>
      <w:sz w:val="24"/>
      <w:szCs w:val="24"/>
    </w:rPr>
  </w:style>
  <w:style w:type="character" w:styleId="Collegamentoipertestuale">
    <w:name w:val="Hyperlink"/>
    <w:basedOn w:val="Carpredefinitoparagrafo"/>
    <w:uiPriority w:val="99"/>
    <w:unhideWhenUsed/>
    <w:rsid w:val="00BF5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5757">
      <w:bodyDiv w:val="1"/>
      <w:marLeft w:val="0"/>
      <w:marRight w:val="0"/>
      <w:marTop w:val="0"/>
      <w:marBottom w:val="0"/>
      <w:divBdr>
        <w:top w:val="none" w:sz="0" w:space="0" w:color="auto"/>
        <w:left w:val="none" w:sz="0" w:space="0" w:color="auto"/>
        <w:bottom w:val="none" w:sz="0" w:space="0" w:color="auto"/>
        <w:right w:val="none" w:sz="0" w:space="0" w:color="auto"/>
      </w:divBdr>
    </w:div>
    <w:div w:id="21315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1778</Words>
  <Characters>10136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IL TRIBUNALE DI FORLI’ Sezione Fallimentare, riunito in Camera           Fall.n.2549</vt:lpstr>
    </vt:vector>
  </TitlesOfParts>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TRIBUNALE DI FORLI’ Sezione Fallimentare, riunito in Camera           Fall.n.2549</dc:title>
  <dc:creator>-</dc:creator>
  <cp:lastModifiedBy>oscare santi</cp:lastModifiedBy>
  <cp:revision>4</cp:revision>
  <cp:lastPrinted>2011-12-22T08:03:00Z</cp:lastPrinted>
  <dcterms:created xsi:type="dcterms:W3CDTF">2017-01-04T09:08:00Z</dcterms:created>
  <dcterms:modified xsi:type="dcterms:W3CDTF">2017-01-13T08:18:00Z</dcterms:modified>
</cp:coreProperties>
</file>