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F8" w:rsidRDefault="004543F8" w:rsidP="004543F8">
      <w:pPr>
        <w:pStyle w:val="Titolo3"/>
        <w:shd w:val="clear" w:color="auto" w:fill="3F91C1"/>
        <w:spacing w:before="0" w:beforeAutospacing="0" w:after="0" w:afterAutospacing="0" w:line="360" w:lineRule="atLeast"/>
        <w:rPr>
          <w:rFonts w:ascii="Verdana" w:eastAsia="Times New Roman" w:hAnsi="Verdana"/>
          <w:color w:val="FFFFFF"/>
        </w:rPr>
      </w:pPr>
      <w:r>
        <w:rPr>
          <w:rFonts w:ascii="Verdana" w:eastAsia="Times New Roman" w:hAnsi="Verdana"/>
          <w:color w:val="FFFFFF"/>
        </w:rPr>
        <w:t>Informazioni Comunicazione HERMES</w:t>
      </w:r>
    </w:p>
    <w:tbl>
      <w:tblPr>
        <w:tblW w:w="0" w:type="auto"/>
        <w:tblCellSpacing w:w="15" w:type="dxa"/>
        <w:tblLook w:val="04A0"/>
      </w:tblPr>
      <w:tblGrid>
        <w:gridCol w:w="1861"/>
        <w:gridCol w:w="5317"/>
      </w:tblGrid>
      <w:tr w:rsidR="004543F8" w:rsidTr="004543F8">
        <w:trPr>
          <w:tblCellSpacing w:w="15" w:type="dxa"/>
        </w:trPr>
        <w:tc>
          <w:tcPr>
            <w:tcW w:w="0" w:type="auto"/>
            <w:tcMar>
              <w:top w:w="15" w:type="dxa"/>
              <w:left w:w="15" w:type="dxa"/>
              <w:bottom w:w="15" w:type="dxa"/>
              <w:right w:w="15" w:type="dxa"/>
            </w:tcMar>
            <w:hideMark/>
          </w:tcPr>
          <w:p w:rsidR="004543F8" w:rsidRDefault="004543F8">
            <w:pPr>
              <w:pStyle w:val="NormaleWeb"/>
              <w:rPr>
                <w:rFonts w:ascii="Verdana" w:hAnsi="Verdana"/>
                <w:sz w:val="18"/>
                <w:szCs w:val="18"/>
              </w:rPr>
            </w:pPr>
            <w:r>
              <w:rPr>
                <w:rFonts w:ascii="Verdana" w:hAnsi="Verdana"/>
                <w:b/>
                <w:bCs/>
                <w:sz w:val="18"/>
                <w:szCs w:val="18"/>
              </w:rPr>
              <w:t xml:space="preserve">Mittente: </w:t>
            </w:r>
          </w:p>
        </w:tc>
        <w:tc>
          <w:tcPr>
            <w:tcW w:w="0" w:type="auto"/>
            <w:tcMar>
              <w:top w:w="15" w:type="dxa"/>
              <w:left w:w="15" w:type="dxa"/>
              <w:bottom w:w="15" w:type="dxa"/>
              <w:right w:w="15" w:type="dxa"/>
            </w:tcMar>
            <w:vAlign w:val="center"/>
            <w:hideMark/>
          </w:tcPr>
          <w:p w:rsidR="004543F8" w:rsidRDefault="004543F8">
            <w:pPr>
              <w:pStyle w:val="NormaleWeb"/>
              <w:rPr>
                <w:rFonts w:ascii="Verdana" w:hAnsi="Verdana"/>
                <w:sz w:val="18"/>
                <w:szCs w:val="18"/>
              </w:rPr>
            </w:pPr>
            <w:r>
              <w:rPr>
                <w:rFonts w:ascii="Verdana" w:hAnsi="Verdana"/>
                <w:i/>
                <w:iCs/>
                <w:sz w:val="18"/>
                <w:szCs w:val="18"/>
              </w:rPr>
              <w:t>0064/Ufficio di Segreteria del Direttore Generale</w:t>
            </w:r>
          </w:p>
        </w:tc>
      </w:tr>
      <w:tr w:rsidR="004543F8" w:rsidTr="004543F8">
        <w:trPr>
          <w:tblCellSpacing w:w="15" w:type="dxa"/>
        </w:trPr>
        <w:tc>
          <w:tcPr>
            <w:tcW w:w="0" w:type="auto"/>
            <w:tcMar>
              <w:top w:w="15" w:type="dxa"/>
              <w:left w:w="15" w:type="dxa"/>
              <w:bottom w:w="15" w:type="dxa"/>
              <w:right w:w="15" w:type="dxa"/>
            </w:tcMar>
            <w:hideMark/>
          </w:tcPr>
          <w:p w:rsidR="004543F8" w:rsidRDefault="004543F8">
            <w:pPr>
              <w:pStyle w:val="NormaleWeb"/>
              <w:rPr>
                <w:rFonts w:ascii="Verdana" w:hAnsi="Verdana"/>
                <w:sz w:val="18"/>
                <w:szCs w:val="18"/>
              </w:rPr>
            </w:pPr>
            <w:r>
              <w:rPr>
                <w:rFonts w:ascii="Verdana" w:hAnsi="Verdana"/>
                <w:b/>
                <w:bCs/>
                <w:sz w:val="18"/>
                <w:szCs w:val="18"/>
              </w:rPr>
              <w:t xml:space="preserve">Sedi destinatarie: </w:t>
            </w:r>
          </w:p>
        </w:tc>
        <w:tc>
          <w:tcPr>
            <w:tcW w:w="0" w:type="auto"/>
            <w:tcMar>
              <w:top w:w="15" w:type="dxa"/>
              <w:left w:w="15" w:type="dxa"/>
              <w:bottom w:w="15" w:type="dxa"/>
              <w:right w:w="15" w:type="dxa"/>
            </w:tcMar>
            <w:vAlign w:val="center"/>
            <w:hideMark/>
          </w:tcPr>
          <w:p w:rsidR="004543F8" w:rsidRDefault="004543F8">
            <w:pPr>
              <w:pStyle w:val="NormaleWeb"/>
              <w:rPr>
                <w:rFonts w:ascii="Verdana" w:hAnsi="Verdana"/>
                <w:sz w:val="18"/>
                <w:szCs w:val="18"/>
              </w:rPr>
            </w:pPr>
            <w:r>
              <w:rPr>
                <w:rFonts w:ascii="Verdana" w:hAnsi="Verdana"/>
                <w:i/>
                <w:iCs/>
                <w:sz w:val="18"/>
                <w:szCs w:val="18"/>
              </w:rPr>
              <w:t>583</w:t>
            </w:r>
          </w:p>
        </w:tc>
      </w:tr>
      <w:tr w:rsidR="004543F8" w:rsidTr="004543F8">
        <w:trPr>
          <w:tblCellSpacing w:w="15" w:type="dxa"/>
        </w:trPr>
        <w:tc>
          <w:tcPr>
            <w:tcW w:w="0" w:type="auto"/>
            <w:tcMar>
              <w:top w:w="15" w:type="dxa"/>
              <w:left w:w="15" w:type="dxa"/>
              <w:bottom w:w="15" w:type="dxa"/>
              <w:right w:w="15" w:type="dxa"/>
            </w:tcMar>
            <w:hideMark/>
          </w:tcPr>
          <w:p w:rsidR="004543F8" w:rsidRDefault="004543F8">
            <w:pPr>
              <w:pStyle w:val="NormaleWeb"/>
              <w:rPr>
                <w:rFonts w:ascii="Verdana" w:hAnsi="Verdana"/>
                <w:sz w:val="18"/>
                <w:szCs w:val="18"/>
              </w:rPr>
            </w:pPr>
            <w:r>
              <w:rPr>
                <w:rFonts w:ascii="Verdana" w:hAnsi="Verdana"/>
                <w:b/>
                <w:bCs/>
                <w:sz w:val="18"/>
                <w:szCs w:val="18"/>
              </w:rPr>
              <w:t xml:space="preserve">Inviato il: </w:t>
            </w:r>
          </w:p>
        </w:tc>
        <w:tc>
          <w:tcPr>
            <w:tcW w:w="0" w:type="auto"/>
            <w:tcMar>
              <w:top w:w="15" w:type="dxa"/>
              <w:left w:w="15" w:type="dxa"/>
              <w:bottom w:w="15" w:type="dxa"/>
              <w:right w:w="15" w:type="dxa"/>
            </w:tcMar>
            <w:vAlign w:val="center"/>
            <w:hideMark/>
          </w:tcPr>
          <w:p w:rsidR="004543F8" w:rsidRDefault="004543F8">
            <w:pPr>
              <w:pStyle w:val="NormaleWeb"/>
              <w:rPr>
                <w:rFonts w:ascii="Verdana" w:hAnsi="Verdana"/>
                <w:sz w:val="18"/>
                <w:szCs w:val="18"/>
              </w:rPr>
            </w:pPr>
            <w:r>
              <w:rPr>
                <w:rFonts w:ascii="Verdana" w:hAnsi="Verdana"/>
                <w:i/>
                <w:iCs/>
                <w:sz w:val="18"/>
                <w:szCs w:val="18"/>
              </w:rPr>
              <w:t>26/11/2014 16.29.55</w:t>
            </w:r>
          </w:p>
        </w:tc>
      </w:tr>
      <w:tr w:rsidR="004543F8" w:rsidTr="004543F8">
        <w:trPr>
          <w:tblCellSpacing w:w="15" w:type="dxa"/>
        </w:trPr>
        <w:tc>
          <w:tcPr>
            <w:tcW w:w="0" w:type="auto"/>
            <w:tcMar>
              <w:top w:w="15" w:type="dxa"/>
              <w:left w:w="15" w:type="dxa"/>
              <w:bottom w:w="15" w:type="dxa"/>
              <w:right w:w="15" w:type="dxa"/>
            </w:tcMar>
            <w:hideMark/>
          </w:tcPr>
          <w:p w:rsidR="004543F8" w:rsidRDefault="004543F8">
            <w:pPr>
              <w:pStyle w:val="NormaleWeb"/>
              <w:rPr>
                <w:rFonts w:ascii="Verdana" w:hAnsi="Verdana"/>
                <w:sz w:val="18"/>
                <w:szCs w:val="18"/>
              </w:rPr>
            </w:pPr>
            <w:r>
              <w:rPr>
                <w:rFonts w:ascii="Verdana" w:hAnsi="Verdana"/>
                <w:b/>
                <w:bCs/>
                <w:sz w:val="18"/>
                <w:szCs w:val="18"/>
              </w:rPr>
              <w:t xml:space="preserve">Protocollo: </w:t>
            </w:r>
          </w:p>
        </w:tc>
        <w:tc>
          <w:tcPr>
            <w:tcW w:w="0" w:type="auto"/>
            <w:tcMar>
              <w:top w:w="15" w:type="dxa"/>
              <w:left w:w="15" w:type="dxa"/>
              <w:bottom w:w="15" w:type="dxa"/>
              <w:right w:w="15" w:type="dxa"/>
            </w:tcMar>
            <w:vAlign w:val="center"/>
            <w:hideMark/>
          </w:tcPr>
          <w:p w:rsidR="004543F8" w:rsidRDefault="004543F8">
            <w:pPr>
              <w:rPr>
                <w:rFonts w:ascii="Verdana" w:eastAsia="Times New Roman" w:hAnsi="Verdana"/>
                <w:sz w:val="18"/>
                <w:szCs w:val="18"/>
              </w:rPr>
            </w:pPr>
            <w:r>
              <w:rPr>
                <w:rFonts w:ascii="Verdana" w:eastAsia="Times New Roman" w:hAnsi="Verdana"/>
                <w:i/>
                <w:iCs/>
                <w:sz w:val="18"/>
                <w:szCs w:val="18"/>
              </w:rPr>
              <w:t>INPS.HERMES.26/11/2014.0009152</w:t>
            </w:r>
          </w:p>
        </w:tc>
      </w:tr>
      <w:tr w:rsidR="004543F8" w:rsidTr="004543F8">
        <w:trPr>
          <w:tblCellSpacing w:w="15" w:type="dxa"/>
        </w:trPr>
        <w:tc>
          <w:tcPr>
            <w:tcW w:w="0" w:type="auto"/>
            <w:tcMar>
              <w:top w:w="15" w:type="dxa"/>
              <w:left w:w="15" w:type="dxa"/>
              <w:bottom w:w="15" w:type="dxa"/>
              <w:right w:w="15" w:type="dxa"/>
            </w:tcMar>
            <w:hideMark/>
          </w:tcPr>
          <w:p w:rsidR="004543F8" w:rsidRDefault="004543F8">
            <w:pPr>
              <w:pStyle w:val="NormaleWeb"/>
              <w:rPr>
                <w:rFonts w:ascii="Verdana" w:hAnsi="Verdana"/>
                <w:sz w:val="18"/>
                <w:szCs w:val="18"/>
              </w:rPr>
            </w:pPr>
            <w:r>
              <w:rPr>
                <w:rFonts w:ascii="Verdana" w:hAnsi="Verdana"/>
                <w:b/>
                <w:bCs/>
                <w:sz w:val="18"/>
                <w:szCs w:val="18"/>
              </w:rPr>
              <w:t>Oggetto:</w:t>
            </w:r>
          </w:p>
        </w:tc>
        <w:tc>
          <w:tcPr>
            <w:tcW w:w="0" w:type="auto"/>
            <w:tcMar>
              <w:top w:w="15" w:type="dxa"/>
              <w:left w:w="15" w:type="dxa"/>
              <w:bottom w:w="15" w:type="dxa"/>
              <w:right w:w="15" w:type="dxa"/>
            </w:tcMar>
            <w:vAlign w:val="center"/>
            <w:hideMark/>
          </w:tcPr>
          <w:p w:rsidR="004543F8" w:rsidRDefault="004543F8">
            <w:pPr>
              <w:pStyle w:val="NormaleWeb"/>
              <w:rPr>
                <w:rFonts w:ascii="Verdana" w:hAnsi="Verdana"/>
                <w:sz w:val="18"/>
                <w:szCs w:val="18"/>
              </w:rPr>
            </w:pPr>
            <w:r>
              <w:rPr>
                <w:rFonts w:ascii="Verdana" w:hAnsi="Verdana"/>
                <w:i/>
                <w:iCs/>
                <w:sz w:val="18"/>
                <w:szCs w:val="18"/>
              </w:rPr>
              <w:t>Nuovo sistema di gestione del DURC interno. Chiarimenti.</w:t>
            </w:r>
          </w:p>
        </w:tc>
      </w:tr>
    </w:tbl>
    <w:p w:rsidR="004543F8" w:rsidRDefault="004543F8" w:rsidP="004543F8">
      <w:pPr>
        <w:pStyle w:val="Titolo3"/>
        <w:shd w:val="clear" w:color="auto" w:fill="3F91C1"/>
        <w:spacing w:before="0" w:beforeAutospacing="0" w:after="0" w:afterAutospacing="0" w:line="360" w:lineRule="atLeast"/>
        <w:rPr>
          <w:rFonts w:ascii="Verdana" w:eastAsia="Times New Roman" w:hAnsi="Verdana"/>
          <w:color w:val="FFFFFF"/>
        </w:rPr>
      </w:pPr>
      <w:r>
        <w:rPr>
          <w:rFonts w:ascii="Verdana" w:eastAsia="Times New Roman" w:hAnsi="Verdana"/>
          <w:color w:val="FFFFFF"/>
        </w:rPr>
        <w:t>Testo Comunicazione</w:t>
      </w:r>
    </w:p>
    <w:p w:rsidR="004543F8" w:rsidRDefault="004543F8" w:rsidP="004543F8">
      <w:pPr>
        <w:pStyle w:val="NormaleWeb"/>
        <w:spacing w:line="360" w:lineRule="atLeast"/>
        <w:rPr>
          <w:rFonts w:ascii="Verdana" w:hAnsi="Verdana"/>
          <w:sz w:val="18"/>
          <w:szCs w:val="18"/>
        </w:rPr>
      </w:pPr>
      <w:r>
        <w:rPr>
          <w:rFonts w:ascii="Verdana" w:hAnsi="Verdana"/>
          <w:sz w:val="18"/>
          <w:szCs w:val="18"/>
        </w:rPr>
        <w:t> </w:t>
      </w:r>
      <w:r>
        <w:rPr>
          <w:rFonts w:ascii="Verdana" w:hAnsi="Verdana"/>
          <w:sz w:val="18"/>
          <w:szCs w:val="18"/>
        </w:rPr>
        <w:br/>
      </w:r>
      <w:r>
        <w:rPr>
          <w:rFonts w:ascii="Verdana" w:hAnsi="Verdana"/>
          <w:sz w:val="27"/>
          <w:szCs w:val="27"/>
        </w:rPr>
        <w:t>DIREZIONE CENTRALE ENTRATE</w:t>
      </w:r>
      <w:r>
        <w:rPr>
          <w:rFonts w:ascii="Verdana" w:hAnsi="Verdana"/>
          <w:sz w:val="27"/>
          <w:szCs w:val="27"/>
        </w:rPr>
        <w:br/>
      </w:r>
      <w:r>
        <w:rPr>
          <w:rFonts w:ascii="Verdana" w:hAnsi="Verdana"/>
          <w:sz w:val="27"/>
          <w:szCs w:val="27"/>
        </w:rPr>
        <w:br/>
        <w:t>                                                                          Alle Strutture Centrali e periferiche</w:t>
      </w:r>
      <w:r>
        <w:rPr>
          <w:rFonts w:ascii="Verdana" w:hAnsi="Verdana"/>
          <w:sz w:val="18"/>
          <w:szCs w:val="18"/>
        </w:rPr>
        <w:br/>
      </w:r>
      <w:r>
        <w:rPr>
          <w:rFonts w:ascii="Verdana" w:hAnsi="Verdana"/>
          <w:sz w:val="18"/>
          <w:szCs w:val="18"/>
        </w:rPr>
        <w:br/>
        <w:t> </w:t>
      </w:r>
      <w:r>
        <w:rPr>
          <w:rFonts w:ascii="Verdana" w:hAnsi="Verdana"/>
          <w:sz w:val="18"/>
          <w:szCs w:val="18"/>
        </w:rPr>
        <w:br/>
      </w:r>
      <w:r>
        <w:rPr>
          <w:rFonts w:ascii="Verdana" w:hAnsi="Verdana"/>
          <w:sz w:val="27"/>
          <w:szCs w:val="27"/>
        </w:rPr>
        <w:t>A seguito delle segnalazioni pervenute dalle Sedi e dai contribuenti, si forniscono alcuni chiarimenti riguardanti la nuova gestione del DURC interno, cui è subordinata la spettanza dei benefici, ai sensi dell’articolo 1, comma 1175, legge n. 296/2006 (il nuovo sistema è stato illustrato con i messaggi n.2889 del 27.2.2014, 4069 del 14.4.2014, 5192 del 6.6.2014, 5828 del 4.7.2014 e 7119 del 19.9.2014).</w:t>
      </w:r>
      <w:r>
        <w:rPr>
          <w:rFonts w:ascii="Verdana" w:hAnsi="Verdana"/>
          <w:sz w:val="18"/>
          <w:szCs w:val="18"/>
        </w:rPr>
        <w:br/>
        <w:t> </w:t>
      </w:r>
      <w:r>
        <w:rPr>
          <w:rFonts w:ascii="Verdana" w:hAnsi="Verdana"/>
          <w:sz w:val="18"/>
          <w:szCs w:val="18"/>
        </w:rPr>
        <w:br/>
      </w:r>
      <w:r>
        <w:rPr>
          <w:rStyle w:val="Enfasicorsivo"/>
          <w:rFonts w:ascii="Verdana" w:hAnsi="Verdana"/>
          <w:b/>
          <w:bCs/>
          <w:sz w:val="27"/>
          <w:szCs w:val="27"/>
        </w:rPr>
        <w:t>Computo del termine per regolarizzare.</w:t>
      </w:r>
      <w:r>
        <w:rPr>
          <w:rFonts w:ascii="Verdana" w:hAnsi="Verdana"/>
          <w:sz w:val="18"/>
          <w:szCs w:val="18"/>
        </w:rPr>
        <w:br/>
        <w:t> </w:t>
      </w:r>
      <w:r>
        <w:rPr>
          <w:rFonts w:ascii="Verdana" w:hAnsi="Verdana"/>
          <w:sz w:val="18"/>
          <w:szCs w:val="18"/>
        </w:rPr>
        <w:br/>
      </w:r>
      <w:r>
        <w:rPr>
          <w:rFonts w:ascii="Verdana" w:hAnsi="Verdana"/>
          <w:sz w:val="27"/>
          <w:szCs w:val="27"/>
        </w:rPr>
        <w:t>Come è noto, il preavviso di DURC interno negativo invita il datore di lavoro a sanare le irregolarità ivi evidenziate entro 15 giorni dalla notifica; per quanto concerne la modalità di computo dei termini si precisa quanto segue:</w:t>
      </w:r>
      <w:r>
        <w:rPr>
          <w:rFonts w:ascii="Verdana" w:hAnsi="Verdana"/>
          <w:sz w:val="18"/>
          <w:szCs w:val="18"/>
        </w:rPr>
        <w:br/>
        <w:t> </w:t>
      </w:r>
    </w:p>
    <w:p w:rsidR="004543F8" w:rsidRDefault="004543F8" w:rsidP="004543F8">
      <w:pPr>
        <w:numPr>
          <w:ilvl w:val="0"/>
          <w:numId w:val="1"/>
        </w:numPr>
        <w:spacing w:before="100" w:beforeAutospacing="1" w:after="100" w:afterAutospacing="1" w:line="360" w:lineRule="atLeast"/>
        <w:jc w:val="both"/>
        <w:rPr>
          <w:rFonts w:ascii="Verdana" w:eastAsia="Times New Roman" w:hAnsi="Verdana"/>
          <w:sz w:val="18"/>
          <w:szCs w:val="18"/>
        </w:rPr>
      </w:pPr>
      <w:r>
        <w:rPr>
          <w:rFonts w:ascii="Verdana" w:eastAsia="Times New Roman" w:hAnsi="Verdana"/>
          <w:sz w:val="27"/>
          <w:szCs w:val="27"/>
        </w:rPr>
        <w:t>         qualora il termine scada di sabato o in un giorno festivo, l’attività di regolarizzazione s’intende utilmente  effettuata purché intervenga al massimo entro il primo giorno successivo non festivo;</w:t>
      </w:r>
    </w:p>
    <w:p w:rsidR="004543F8" w:rsidRDefault="004543F8" w:rsidP="004543F8">
      <w:pPr>
        <w:numPr>
          <w:ilvl w:val="0"/>
          <w:numId w:val="1"/>
        </w:numPr>
        <w:spacing w:before="100" w:beforeAutospacing="1" w:after="100" w:afterAutospacing="1" w:line="360" w:lineRule="atLeast"/>
        <w:jc w:val="both"/>
        <w:rPr>
          <w:rFonts w:ascii="Verdana" w:eastAsia="Times New Roman" w:hAnsi="Verdana"/>
          <w:sz w:val="18"/>
          <w:szCs w:val="18"/>
        </w:rPr>
      </w:pPr>
      <w:r>
        <w:rPr>
          <w:rFonts w:ascii="Verdana" w:eastAsia="Times New Roman" w:hAnsi="Verdana"/>
          <w:sz w:val="27"/>
          <w:szCs w:val="27"/>
        </w:rPr>
        <w:t>         il giorno di notifica non si computa.</w:t>
      </w:r>
    </w:p>
    <w:p w:rsidR="004543F8" w:rsidRDefault="004543F8" w:rsidP="004543F8">
      <w:pPr>
        <w:spacing w:line="360" w:lineRule="atLeast"/>
        <w:rPr>
          <w:rFonts w:ascii="Verdana" w:eastAsia="Times New Roman" w:hAnsi="Verdana"/>
          <w:sz w:val="18"/>
          <w:szCs w:val="18"/>
        </w:rPr>
      </w:pPr>
      <w:r>
        <w:rPr>
          <w:rFonts w:ascii="Verdana" w:eastAsia="Times New Roman" w:hAnsi="Verdana"/>
          <w:sz w:val="18"/>
          <w:szCs w:val="18"/>
        </w:rPr>
        <w:t> </w:t>
      </w:r>
      <w:r>
        <w:rPr>
          <w:rFonts w:ascii="Verdana" w:eastAsia="Times New Roman" w:hAnsi="Verdana"/>
          <w:sz w:val="18"/>
          <w:szCs w:val="18"/>
        </w:rPr>
        <w:br/>
      </w:r>
      <w:r>
        <w:rPr>
          <w:rFonts w:ascii="Verdana" w:eastAsia="Times New Roman" w:hAnsi="Verdana"/>
          <w:sz w:val="27"/>
          <w:szCs w:val="27"/>
        </w:rPr>
        <w:t>Esempi:</w:t>
      </w:r>
      <w:r>
        <w:rPr>
          <w:rFonts w:ascii="Verdana" w:eastAsia="Times New Roman" w:hAnsi="Verdana"/>
          <w:sz w:val="18"/>
          <w:szCs w:val="18"/>
        </w:rPr>
        <w:br/>
        <w:t> </w:t>
      </w:r>
    </w:p>
    <w:p w:rsidR="004543F8" w:rsidRDefault="004543F8" w:rsidP="004543F8">
      <w:pPr>
        <w:numPr>
          <w:ilvl w:val="0"/>
          <w:numId w:val="2"/>
        </w:numPr>
        <w:spacing w:before="100" w:beforeAutospacing="1" w:after="100" w:afterAutospacing="1" w:line="360" w:lineRule="atLeast"/>
        <w:jc w:val="both"/>
        <w:rPr>
          <w:rFonts w:ascii="Verdana" w:eastAsia="Times New Roman" w:hAnsi="Verdana"/>
          <w:sz w:val="18"/>
          <w:szCs w:val="18"/>
        </w:rPr>
      </w:pPr>
      <w:r>
        <w:rPr>
          <w:rFonts w:ascii="Verdana" w:eastAsia="Times New Roman" w:hAnsi="Verdana"/>
          <w:sz w:val="27"/>
          <w:szCs w:val="27"/>
        </w:rPr>
        <w:lastRenderedPageBreak/>
        <w:t>   preavviso notificato il 3 giugno 2014; l’ultimo giorno utile per la regolarizzazione (</w:t>
      </w:r>
      <w:proofErr w:type="spellStart"/>
      <w:r>
        <w:rPr>
          <w:rFonts w:ascii="Verdana" w:eastAsia="Times New Roman" w:hAnsi="Verdana"/>
          <w:sz w:val="27"/>
          <w:szCs w:val="27"/>
        </w:rPr>
        <w:t>es</w:t>
      </w:r>
      <w:proofErr w:type="spellEnd"/>
      <w:r>
        <w:rPr>
          <w:rFonts w:ascii="Verdana" w:eastAsia="Times New Roman" w:hAnsi="Verdana"/>
          <w:sz w:val="27"/>
          <w:szCs w:val="27"/>
        </w:rPr>
        <w:t xml:space="preserve">: invio </w:t>
      </w:r>
      <w:proofErr w:type="spellStart"/>
      <w:r>
        <w:rPr>
          <w:rFonts w:ascii="Verdana" w:eastAsia="Times New Roman" w:hAnsi="Verdana"/>
          <w:sz w:val="27"/>
          <w:szCs w:val="27"/>
        </w:rPr>
        <w:t>Uniemens</w:t>
      </w:r>
      <w:proofErr w:type="spellEnd"/>
      <w:r>
        <w:rPr>
          <w:rFonts w:ascii="Verdana" w:eastAsia="Times New Roman" w:hAnsi="Verdana"/>
          <w:sz w:val="27"/>
          <w:szCs w:val="27"/>
        </w:rPr>
        <w:t>,  versamento contributi, presentazione istanza di dilazione) è mercoledì 18 giugno;</w:t>
      </w:r>
    </w:p>
    <w:p w:rsidR="004543F8" w:rsidRDefault="004543F8" w:rsidP="004543F8">
      <w:pPr>
        <w:numPr>
          <w:ilvl w:val="0"/>
          <w:numId w:val="2"/>
        </w:numPr>
        <w:spacing w:before="100" w:beforeAutospacing="1" w:after="100" w:afterAutospacing="1" w:line="360" w:lineRule="atLeast"/>
        <w:jc w:val="both"/>
        <w:rPr>
          <w:rFonts w:ascii="Verdana" w:eastAsia="Times New Roman" w:hAnsi="Verdana"/>
          <w:sz w:val="18"/>
          <w:szCs w:val="18"/>
        </w:rPr>
      </w:pPr>
      <w:r>
        <w:rPr>
          <w:rFonts w:ascii="Verdana" w:eastAsia="Times New Roman" w:hAnsi="Verdana"/>
          <w:sz w:val="18"/>
          <w:szCs w:val="18"/>
        </w:rPr>
        <w:t xml:space="preserve">   </w:t>
      </w:r>
      <w:r>
        <w:rPr>
          <w:rFonts w:ascii="Verdana" w:eastAsia="Times New Roman" w:hAnsi="Verdana"/>
          <w:sz w:val="27"/>
          <w:szCs w:val="27"/>
        </w:rPr>
        <w:t xml:space="preserve">preavviso notificato il 6 giugno 2014; poiché il quindicesimo giorno successivo al 6 giugno è sabato 21 giugno, l’ultimo giorno utile per la regolarizzazione (es.: invio </w:t>
      </w:r>
      <w:proofErr w:type="spellStart"/>
      <w:r>
        <w:rPr>
          <w:rFonts w:ascii="Verdana" w:eastAsia="Times New Roman" w:hAnsi="Verdana"/>
          <w:sz w:val="27"/>
          <w:szCs w:val="27"/>
        </w:rPr>
        <w:t>Uniemens</w:t>
      </w:r>
      <w:proofErr w:type="spellEnd"/>
      <w:r>
        <w:rPr>
          <w:rFonts w:ascii="Verdana" w:eastAsia="Times New Roman" w:hAnsi="Verdana"/>
          <w:sz w:val="27"/>
          <w:szCs w:val="27"/>
        </w:rPr>
        <w:t>, versamento contributi, presentazione istanza di dilazione) è lunedì 23 giugno 2014.</w:t>
      </w:r>
    </w:p>
    <w:p w:rsidR="004543F8" w:rsidRDefault="004543F8" w:rsidP="004543F8">
      <w:pPr>
        <w:spacing w:after="240" w:line="360" w:lineRule="atLeast"/>
        <w:rPr>
          <w:rFonts w:ascii="Verdana" w:eastAsia="Times New Roman" w:hAnsi="Verdana"/>
          <w:sz w:val="18"/>
          <w:szCs w:val="18"/>
        </w:rPr>
      </w:pPr>
      <w:r>
        <w:rPr>
          <w:rFonts w:ascii="Verdana" w:eastAsia="Times New Roman" w:hAnsi="Verdana"/>
          <w:sz w:val="18"/>
          <w:szCs w:val="18"/>
        </w:rPr>
        <w:t> </w:t>
      </w:r>
      <w:r>
        <w:rPr>
          <w:rFonts w:ascii="Verdana" w:eastAsia="Times New Roman" w:hAnsi="Verdana"/>
          <w:sz w:val="18"/>
          <w:szCs w:val="18"/>
        </w:rPr>
        <w:br/>
      </w:r>
      <w:r>
        <w:rPr>
          <w:rFonts w:ascii="Verdana" w:eastAsia="Times New Roman" w:hAnsi="Verdana"/>
          <w:sz w:val="27"/>
          <w:szCs w:val="27"/>
        </w:rPr>
        <w:t xml:space="preserve">Il datore di lavoro che - nonostante  abbia regolarizzato la propria posizione entro il termine di scadenza, computato secondo i criteri qui esposti - sia stato destinatario di un DURC interno negativo, potrà chiederne l’annullamento alla Sede, la quale provvederà a forzare a verde il semaforo rosso </w:t>
      </w:r>
      <w:proofErr w:type="spellStart"/>
      <w:r>
        <w:rPr>
          <w:rFonts w:ascii="Verdana" w:eastAsia="Times New Roman" w:hAnsi="Verdana"/>
          <w:sz w:val="27"/>
          <w:szCs w:val="27"/>
        </w:rPr>
        <w:t>lucchettato</w:t>
      </w:r>
      <w:proofErr w:type="spellEnd"/>
      <w:r>
        <w:rPr>
          <w:rFonts w:ascii="Verdana" w:eastAsia="Times New Roman" w:hAnsi="Verdana"/>
          <w:sz w:val="27"/>
          <w:szCs w:val="27"/>
        </w:rPr>
        <w:t>, azzerando i corrispondenti addebiti con causale “art. 1, co. 1175, l. 296/2006”.</w:t>
      </w:r>
      <w:r>
        <w:rPr>
          <w:rFonts w:ascii="Verdana" w:eastAsia="Times New Roman" w:hAnsi="Verdana"/>
          <w:sz w:val="18"/>
          <w:szCs w:val="18"/>
        </w:rPr>
        <w:br/>
        <w:t> </w:t>
      </w:r>
      <w:r>
        <w:rPr>
          <w:rFonts w:ascii="Verdana" w:eastAsia="Times New Roman" w:hAnsi="Verdana"/>
          <w:sz w:val="18"/>
          <w:szCs w:val="18"/>
        </w:rPr>
        <w:br/>
        <w:t> </w:t>
      </w:r>
      <w:r>
        <w:rPr>
          <w:rFonts w:ascii="Verdana" w:eastAsia="Times New Roman" w:hAnsi="Verdana"/>
          <w:sz w:val="18"/>
          <w:szCs w:val="18"/>
        </w:rPr>
        <w:br/>
        <w:t> </w:t>
      </w:r>
      <w:r>
        <w:rPr>
          <w:rFonts w:ascii="Verdana" w:eastAsia="Times New Roman" w:hAnsi="Verdana"/>
          <w:sz w:val="18"/>
          <w:szCs w:val="18"/>
        </w:rPr>
        <w:br/>
      </w:r>
      <w:r>
        <w:rPr>
          <w:rStyle w:val="Enfasicorsivo"/>
          <w:rFonts w:ascii="Verdana" w:eastAsia="Times New Roman" w:hAnsi="Verdana"/>
          <w:b/>
          <w:bCs/>
          <w:sz w:val="27"/>
          <w:szCs w:val="27"/>
        </w:rPr>
        <w:t>Mancato pagamento delle sanzioni.</w:t>
      </w:r>
      <w:r>
        <w:rPr>
          <w:rFonts w:ascii="Verdana" w:eastAsia="Times New Roman" w:hAnsi="Verdana"/>
          <w:sz w:val="18"/>
          <w:szCs w:val="18"/>
        </w:rPr>
        <w:br/>
        <w:t> </w:t>
      </w:r>
      <w:r>
        <w:rPr>
          <w:rFonts w:ascii="Verdana" w:eastAsia="Times New Roman" w:hAnsi="Verdana"/>
          <w:sz w:val="18"/>
          <w:szCs w:val="18"/>
        </w:rPr>
        <w:br/>
      </w:r>
      <w:r>
        <w:rPr>
          <w:rFonts w:ascii="Verdana" w:eastAsia="Times New Roman" w:hAnsi="Verdana"/>
          <w:sz w:val="27"/>
          <w:szCs w:val="27"/>
        </w:rPr>
        <w:t>Si richiama il principio in base al quale ai fini della acquisizione della condizione di regolarità negli adempimenti contributivi si rende necessario siano versati anche gli importi dovuti a titolo di sanzioni. Ne consegue che, qualora il datore di lavoro riceva un preavviso di DURC interno negativo, sarà tenuto a versare entro 15 giorni dal ricevimento dello stesso anche l’importo delle sanzioni, affinché  possa essere formato il DURC interno positivo e possano – quindi - essere confermati i benefici relativi al periodo cui si riferisce il preavviso.</w:t>
      </w:r>
      <w:r>
        <w:rPr>
          <w:rFonts w:ascii="Verdana" w:eastAsia="Times New Roman" w:hAnsi="Verdana"/>
          <w:sz w:val="18"/>
          <w:szCs w:val="18"/>
        </w:rPr>
        <w:br/>
        <w:t> </w:t>
      </w:r>
      <w:r>
        <w:rPr>
          <w:rFonts w:ascii="Verdana" w:eastAsia="Times New Roman" w:hAnsi="Verdana"/>
          <w:sz w:val="18"/>
          <w:szCs w:val="18"/>
        </w:rPr>
        <w:br/>
      </w:r>
      <w:r>
        <w:rPr>
          <w:rFonts w:ascii="Verdana" w:eastAsia="Times New Roman" w:hAnsi="Verdana"/>
          <w:sz w:val="27"/>
          <w:szCs w:val="27"/>
        </w:rPr>
        <w:t>Al fine di consentire l’adeguamento a tale principio, considerato che lo stesso non è stato richiamato nei messaggi che hanno illustrato il nuovo  sistema del DURC interno, e che i preavvisi finora notificati non lo hanno espressamente richiamato, si dispone quanto segue.</w:t>
      </w:r>
      <w:r>
        <w:rPr>
          <w:rFonts w:ascii="Verdana" w:eastAsia="Times New Roman" w:hAnsi="Verdana"/>
          <w:sz w:val="18"/>
          <w:szCs w:val="18"/>
        </w:rPr>
        <w:br/>
        <w:t> </w:t>
      </w:r>
      <w:r>
        <w:rPr>
          <w:rFonts w:ascii="Verdana" w:eastAsia="Times New Roman" w:hAnsi="Verdana"/>
          <w:sz w:val="18"/>
          <w:szCs w:val="18"/>
        </w:rPr>
        <w:br/>
      </w:r>
      <w:r w:rsidRPr="004543F8">
        <w:rPr>
          <w:rFonts w:ascii="Verdana" w:eastAsia="Times New Roman" w:hAnsi="Verdana"/>
          <w:sz w:val="27"/>
          <w:szCs w:val="27"/>
          <w:highlight w:val="yellow"/>
        </w:rPr>
        <w:t xml:space="preserve">I datori di lavoro, i quali abbiano versato nel termine assegnato dal preavviso i contributi, ma non anche le sanzioni, potranno effettuare il versamento del residuo debito a titolo di sanzioni entro </w:t>
      </w:r>
      <w:r w:rsidRPr="004543F8">
        <w:rPr>
          <w:rStyle w:val="Enfasigrassetto"/>
          <w:rFonts w:ascii="Verdana" w:eastAsia="Times New Roman" w:hAnsi="Verdana"/>
          <w:sz w:val="27"/>
          <w:szCs w:val="27"/>
          <w:highlight w:val="yellow"/>
        </w:rPr>
        <w:t>15 giorni dalla pubblicazione del presente messaggio</w:t>
      </w:r>
      <w:r w:rsidRPr="004543F8">
        <w:rPr>
          <w:rFonts w:ascii="Verdana" w:eastAsia="Times New Roman" w:hAnsi="Verdana"/>
          <w:sz w:val="27"/>
          <w:szCs w:val="27"/>
          <w:highlight w:val="yellow"/>
        </w:rPr>
        <w:t>,</w:t>
      </w:r>
      <w:r>
        <w:rPr>
          <w:rFonts w:ascii="Verdana" w:eastAsia="Times New Roman" w:hAnsi="Verdana"/>
          <w:sz w:val="27"/>
          <w:szCs w:val="27"/>
        </w:rPr>
        <w:t xml:space="preserve"> al fine di ottenere </w:t>
      </w:r>
      <w:r>
        <w:rPr>
          <w:rFonts w:ascii="Verdana" w:eastAsia="Times New Roman" w:hAnsi="Verdana"/>
          <w:sz w:val="27"/>
          <w:szCs w:val="27"/>
        </w:rPr>
        <w:lastRenderedPageBreak/>
        <w:t>l’annullamento del DURC interno negativo.</w:t>
      </w:r>
      <w:r>
        <w:rPr>
          <w:rFonts w:ascii="Verdana" w:eastAsia="Times New Roman" w:hAnsi="Verdana"/>
          <w:sz w:val="18"/>
          <w:szCs w:val="18"/>
        </w:rPr>
        <w:br/>
        <w:t> </w:t>
      </w:r>
      <w:r>
        <w:rPr>
          <w:rFonts w:ascii="Verdana" w:eastAsia="Times New Roman" w:hAnsi="Verdana"/>
          <w:sz w:val="18"/>
          <w:szCs w:val="18"/>
        </w:rPr>
        <w:br/>
      </w:r>
      <w:r>
        <w:rPr>
          <w:rFonts w:ascii="Verdana" w:eastAsia="Times New Roman" w:hAnsi="Verdana"/>
          <w:sz w:val="27"/>
          <w:szCs w:val="27"/>
        </w:rPr>
        <w:t xml:space="preserve">I datori di lavoro interessati - avvalendosi della funzionalità “contatti” del Cassetto previdenziale e selezionando l’oggetto </w:t>
      </w:r>
      <w:r>
        <w:rPr>
          <w:rStyle w:val="Enfasicorsivo"/>
          <w:rFonts w:ascii="Verdana" w:eastAsia="Times New Roman" w:hAnsi="Verdana"/>
          <w:sz w:val="27"/>
          <w:szCs w:val="27"/>
        </w:rPr>
        <w:t xml:space="preserve">“Agevolazione contributiva – </w:t>
      </w:r>
      <w:proofErr w:type="spellStart"/>
      <w:r>
        <w:rPr>
          <w:rStyle w:val="Enfasicorsivo"/>
          <w:rFonts w:ascii="Verdana" w:eastAsia="Times New Roman" w:hAnsi="Verdana"/>
          <w:sz w:val="27"/>
          <w:szCs w:val="27"/>
        </w:rPr>
        <w:t>Durc</w:t>
      </w:r>
      <w:proofErr w:type="spellEnd"/>
      <w:r>
        <w:rPr>
          <w:rStyle w:val="Enfasicorsivo"/>
          <w:rFonts w:ascii="Verdana" w:eastAsia="Times New Roman" w:hAnsi="Verdana"/>
          <w:sz w:val="27"/>
          <w:szCs w:val="27"/>
        </w:rPr>
        <w:t xml:space="preserve"> interno (regolarità contributiva)” -</w:t>
      </w:r>
      <w:r>
        <w:rPr>
          <w:rFonts w:ascii="Verdana" w:eastAsia="Times New Roman" w:hAnsi="Verdana"/>
          <w:sz w:val="27"/>
          <w:szCs w:val="27"/>
        </w:rPr>
        <w:t xml:space="preserve"> dovranno informare la Sede competente dell’avvenuto versamento delle sanzioni e chiedere l’annullamento del DURC interno negativo. </w:t>
      </w:r>
      <w:r>
        <w:rPr>
          <w:rFonts w:ascii="Verdana" w:eastAsia="Times New Roman" w:hAnsi="Verdana"/>
          <w:sz w:val="18"/>
          <w:szCs w:val="18"/>
        </w:rPr>
        <w:br/>
        <w:t> </w:t>
      </w:r>
      <w:r>
        <w:rPr>
          <w:rFonts w:ascii="Verdana" w:eastAsia="Times New Roman" w:hAnsi="Verdana"/>
          <w:sz w:val="18"/>
          <w:szCs w:val="18"/>
        </w:rPr>
        <w:br/>
      </w:r>
      <w:r>
        <w:rPr>
          <w:rFonts w:ascii="Verdana" w:eastAsia="Times New Roman" w:hAnsi="Verdana"/>
          <w:sz w:val="27"/>
          <w:szCs w:val="27"/>
        </w:rPr>
        <w:t xml:space="preserve">La Sede, verificato il rispetto dei termini indicati, annullerà il DURC interno negativo, forzando a verde il corrispondente semaforo rosso </w:t>
      </w:r>
      <w:proofErr w:type="spellStart"/>
      <w:r>
        <w:rPr>
          <w:rFonts w:ascii="Verdana" w:eastAsia="Times New Roman" w:hAnsi="Verdana"/>
          <w:sz w:val="27"/>
          <w:szCs w:val="27"/>
        </w:rPr>
        <w:t>lucchettato</w:t>
      </w:r>
      <w:proofErr w:type="spellEnd"/>
      <w:r>
        <w:rPr>
          <w:rFonts w:ascii="Verdana" w:eastAsia="Times New Roman" w:hAnsi="Verdana"/>
          <w:sz w:val="27"/>
          <w:szCs w:val="27"/>
        </w:rPr>
        <w:t xml:space="preserve">; la stessa procedura dovrà essere seguita – sempre dietro apposita richiesta del datore di lavoro - nell’ipotesi in cui i datori di lavoro abbiano versato le sanzioni nel periodo compreso tra la scadenza del termine assegnato nel preavviso di DURC interno negativo e la pubblicazione del presente messaggio. </w:t>
      </w:r>
      <w:r>
        <w:rPr>
          <w:rFonts w:ascii="Verdana" w:eastAsia="Times New Roman" w:hAnsi="Verdana"/>
          <w:sz w:val="18"/>
          <w:szCs w:val="18"/>
        </w:rPr>
        <w:br/>
        <w:t> </w:t>
      </w:r>
      <w:r>
        <w:rPr>
          <w:rFonts w:ascii="Verdana" w:eastAsia="Times New Roman" w:hAnsi="Verdana"/>
          <w:sz w:val="18"/>
          <w:szCs w:val="18"/>
        </w:rPr>
        <w:br/>
      </w:r>
      <w:r>
        <w:rPr>
          <w:rFonts w:ascii="Verdana" w:eastAsia="Times New Roman" w:hAnsi="Verdana"/>
          <w:sz w:val="27"/>
          <w:szCs w:val="27"/>
        </w:rPr>
        <w:t>La Sede potrà annullare il DURC negativo anche nell’ipotesi in cui il datore di lavoro, entro 15 giorni dalla pubblicazione del presente messaggio, abbia inoltrato istanza di rateazione, sempre che riguardi solo  importi dovuti a titolo di sanzioni.</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sz w:val="27"/>
          <w:szCs w:val="27"/>
        </w:rPr>
        <w:t>La “rimessione in termini” qui descritta si applica ai preavvisi notificati prima della pubblicazione del presente messaggio.</w:t>
      </w:r>
      <w:r>
        <w:rPr>
          <w:rFonts w:ascii="Verdana" w:eastAsia="Times New Roman" w:hAnsi="Verdana"/>
          <w:sz w:val="18"/>
          <w:szCs w:val="18"/>
        </w:rPr>
        <w:br/>
        <w:t> </w:t>
      </w:r>
      <w:r>
        <w:rPr>
          <w:rFonts w:ascii="Verdana" w:eastAsia="Times New Roman" w:hAnsi="Verdana"/>
          <w:sz w:val="18"/>
          <w:szCs w:val="18"/>
        </w:rPr>
        <w:br/>
        <w:t> </w:t>
      </w:r>
      <w:r>
        <w:rPr>
          <w:rFonts w:ascii="Verdana" w:eastAsia="Times New Roman" w:hAnsi="Verdana"/>
          <w:sz w:val="18"/>
          <w:szCs w:val="18"/>
        </w:rPr>
        <w:br/>
      </w:r>
      <w:r>
        <w:rPr>
          <w:rStyle w:val="Enfasicorsivo"/>
          <w:rFonts w:ascii="Verdana" w:eastAsia="Times New Roman" w:hAnsi="Verdana"/>
          <w:b/>
          <w:bCs/>
          <w:sz w:val="27"/>
          <w:szCs w:val="27"/>
        </w:rPr>
        <w:t xml:space="preserve">Notifiche di nuovi preavvisi di DURC interno negativo </w:t>
      </w:r>
      <w:r>
        <w:rPr>
          <w:rFonts w:ascii="Verdana" w:eastAsia="Times New Roman" w:hAnsi="Verdana"/>
          <w:sz w:val="18"/>
          <w:szCs w:val="18"/>
        </w:rPr>
        <w:br/>
        <w:t> </w:t>
      </w:r>
      <w:r>
        <w:rPr>
          <w:rFonts w:ascii="Verdana" w:eastAsia="Times New Roman" w:hAnsi="Verdana"/>
          <w:sz w:val="18"/>
          <w:szCs w:val="18"/>
        </w:rPr>
        <w:br/>
      </w:r>
      <w:r>
        <w:rPr>
          <w:rFonts w:ascii="Verdana" w:eastAsia="Times New Roman" w:hAnsi="Verdana"/>
          <w:sz w:val="27"/>
          <w:szCs w:val="27"/>
        </w:rPr>
        <w:t xml:space="preserve">In considerazione dei molteplici adempimenti in scadenza per la fine dell’anno, sia da parte delle strutture dell’Istituto che dei contribuenti, è rinviato al mese di </w:t>
      </w:r>
      <w:r>
        <w:rPr>
          <w:rFonts w:ascii="Verdana" w:eastAsia="Times New Roman" w:hAnsi="Verdana"/>
          <w:sz w:val="27"/>
          <w:szCs w:val="27"/>
          <w:u w:val="single"/>
        </w:rPr>
        <w:t>gennaio 2015 il riavvio delle operazioni di spedizione dei preavvisi di DURC interno negativo</w:t>
      </w:r>
      <w:r>
        <w:rPr>
          <w:rFonts w:ascii="Verdana" w:eastAsia="Times New Roman" w:hAnsi="Verdana"/>
          <w:sz w:val="27"/>
          <w:szCs w:val="27"/>
        </w:rPr>
        <w:t>.</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sz w:val="18"/>
          <w:szCs w:val="18"/>
        </w:rPr>
        <w:br/>
        <w:t> </w:t>
      </w:r>
      <w:r>
        <w:rPr>
          <w:rFonts w:ascii="Verdana" w:eastAsia="Times New Roman" w:hAnsi="Verdana"/>
          <w:sz w:val="18"/>
          <w:szCs w:val="18"/>
        </w:rPr>
        <w:br/>
      </w:r>
      <w:r>
        <w:rPr>
          <w:rFonts w:ascii="Verdana" w:eastAsia="Times New Roman" w:hAnsi="Verdana"/>
          <w:sz w:val="27"/>
          <w:szCs w:val="27"/>
        </w:rPr>
        <w:t>Il Direttore generale</w:t>
      </w:r>
      <w:r>
        <w:rPr>
          <w:rFonts w:ascii="Verdana" w:eastAsia="Times New Roman" w:hAnsi="Verdana"/>
          <w:sz w:val="18"/>
          <w:szCs w:val="18"/>
        </w:rPr>
        <w:br/>
      </w:r>
      <w:r>
        <w:rPr>
          <w:rFonts w:ascii="Verdana" w:eastAsia="Times New Roman" w:hAnsi="Verdana"/>
          <w:sz w:val="27"/>
          <w:szCs w:val="27"/>
        </w:rPr>
        <w:t>Nori</w:t>
      </w:r>
      <w:r>
        <w:rPr>
          <w:rFonts w:ascii="Verdana" w:eastAsia="Times New Roman" w:hAnsi="Verdana"/>
          <w:sz w:val="18"/>
          <w:szCs w:val="18"/>
        </w:rPr>
        <w:br/>
        <w:t> </w:t>
      </w:r>
      <w:r>
        <w:rPr>
          <w:rFonts w:ascii="Verdana" w:eastAsia="Times New Roman" w:hAnsi="Verdana"/>
          <w:sz w:val="18"/>
          <w:szCs w:val="18"/>
        </w:rPr>
        <w:br/>
      </w:r>
      <w:r>
        <w:rPr>
          <w:rFonts w:ascii="Verdana" w:eastAsia="Times New Roman" w:hAnsi="Verdana"/>
          <w:sz w:val="18"/>
          <w:szCs w:val="18"/>
        </w:rPr>
        <w:br/>
      </w:r>
    </w:p>
    <w:p w:rsidR="00415595" w:rsidRDefault="00415595">
      <w:bookmarkStart w:id="0" w:name="_GoBack"/>
      <w:bookmarkEnd w:id="0"/>
    </w:p>
    <w:sectPr w:rsidR="00415595" w:rsidSect="00D31F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283"/>
    <w:multiLevelType w:val="multilevel"/>
    <w:tmpl w:val="2BCE0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5996DF5"/>
    <w:multiLevelType w:val="multilevel"/>
    <w:tmpl w:val="2402D3C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4543F8"/>
    <w:rsid w:val="00415595"/>
    <w:rsid w:val="004543F8"/>
    <w:rsid w:val="009E60D0"/>
    <w:rsid w:val="00B11D12"/>
    <w:rsid w:val="00D31F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43F8"/>
    <w:pPr>
      <w:spacing w:after="0" w:line="240" w:lineRule="auto"/>
    </w:pPr>
    <w:rPr>
      <w:rFonts w:ascii="Times New Roman" w:hAnsi="Times New Roman" w:cs="Times New Roman"/>
      <w:sz w:val="24"/>
      <w:szCs w:val="24"/>
      <w:lang w:eastAsia="it-IT"/>
    </w:rPr>
  </w:style>
  <w:style w:type="paragraph" w:styleId="Titolo3">
    <w:name w:val="heading 3"/>
    <w:basedOn w:val="Normale"/>
    <w:link w:val="Titolo3Carattere"/>
    <w:uiPriority w:val="9"/>
    <w:semiHidden/>
    <w:unhideWhenUsed/>
    <w:qFormat/>
    <w:rsid w:val="004543F8"/>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4543F8"/>
    <w:rPr>
      <w:rFonts w:ascii="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4543F8"/>
    <w:rPr>
      <w:color w:val="0000FF"/>
      <w:u w:val="single"/>
    </w:rPr>
  </w:style>
  <w:style w:type="paragraph" w:styleId="NormaleWeb">
    <w:name w:val="Normal (Web)"/>
    <w:basedOn w:val="Normale"/>
    <w:uiPriority w:val="99"/>
    <w:unhideWhenUsed/>
    <w:rsid w:val="004543F8"/>
  </w:style>
  <w:style w:type="character" w:styleId="Enfasicorsivo">
    <w:name w:val="Emphasis"/>
    <w:basedOn w:val="Carpredefinitoparagrafo"/>
    <w:uiPriority w:val="20"/>
    <w:qFormat/>
    <w:rsid w:val="004543F8"/>
    <w:rPr>
      <w:i/>
      <w:iCs/>
    </w:rPr>
  </w:style>
  <w:style w:type="character" w:styleId="Enfasigrassetto">
    <w:name w:val="Strong"/>
    <w:basedOn w:val="Carpredefinitoparagrafo"/>
    <w:uiPriority w:val="22"/>
    <w:qFormat/>
    <w:rsid w:val="004543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43F8"/>
    <w:pPr>
      <w:spacing w:after="0" w:line="240" w:lineRule="auto"/>
    </w:pPr>
    <w:rPr>
      <w:rFonts w:ascii="Times New Roman" w:hAnsi="Times New Roman" w:cs="Times New Roman"/>
      <w:sz w:val="24"/>
      <w:szCs w:val="24"/>
      <w:lang w:eastAsia="it-IT"/>
    </w:rPr>
  </w:style>
  <w:style w:type="paragraph" w:styleId="Titolo3">
    <w:name w:val="heading 3"/>
    <w:basedOn w:val="Normale"/>
    <w:link w:val="Titolo3Carattere"/>
    <w:uiPriority w:val="9"/>
    <w:semiHidden/>
    <w:unhideWhenUsed/>
    <w:qFormat/>
    <w:rsid w:val="004543F8"/>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4543F8"/>
    <w:rPr>
      <w:rFonts w:ascii="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4543F8"/>
    <w:rPr>
      <w:color w:val="0000FF"/>
      <w:u w:val="single"/>
    </w:rPr>
  </w:style>
  <w:style w:type="paragraph" w:styleId="NormaleWeb">
    <w:name w:val="Normal (Web)"/>
    <w:basedOn w:val="Normale"/>
    <w:uiPriority w:val="99"/>
    <w:unhideWhenUsed/>
    <w:rsid w:val="004543F8"/>
  </w:style>
  <w:style w:type="character" w:styleId="Enfasicorsivo">
    <w:name w:val="Emphasis"/>
    <w:basedOn w:val="Carpredefinitoparagrafo"/>
    <w:uiPriority w:val="20"/>
    <w:qFormat/>
    <w:rsid w:val="004543F8"/>
    <w:rPr>
      <w:i/>
      <w:iCs/>
    </w:rPr>
  </w:style>
  <w:style w:type="character" w:styleId="Enfasigrassetto">
    <w:name w:val="Strong"/>
    <w:basedOn w:val="Carpredefinitoparagrafo"/>
    <w:uiPriority w:val="22"/>
    <w:qFormat/>
    <w:rsid w:val="004543F8"/>
    <w:rPr>
      <w:b/>
      <w:bCs/>
    </w:rPr>
  </w:style>
</w:styles>
</file>

<file path=word/webSettings.xml><?xml version="1.0" encoding="utf-8"?>
<w:webSettings xmlns:r="http://schemas.openxmlformats.org/officeDocument/2006/relationships" xmlns:w="http://schemas.openxmlformats.org/wordprocessingml/2006/main">
  <w:divs>
    <w:div w:id="192637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4222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Principaleo</cp:lastModifiedBy>
  <cp:revision>2</cp:revision>
  <dcterms:created xsi:type="dcterms:W3CDTF">2014-11-27T09:37:00Z</dcterms:created>
  <dcterms:modified xsi:type="dcterms:W3CDTF">2014-11-27T09:37:00Z</dcterms:modified>
</cp:coreProperties>
</file>